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i/>
          <w:iCs/>
          <w:color w:val="auto"/>
          <w:szCs w:val="28"/>
        </w:rPr>
      </w:pPr>
      <w:r w:rsidRPr="00A8588C">
        <w:rPr>
          <w:b/>
          <w:bCs/>
          <w:i/>
          <w:iCs/>
          <w:color w:val="auto"/>
          <w:szCs w:val="28"/>
        </w:rPr>
        <w:t xml:space="preserve">Муниципальное образование городской округ «Охинский»  </w:t>
      </w: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36"/>
          <w:szCs w:val="36"/>
        </w:rPr>
      </w:pPr>
      <w:r w:rsidRPr="00A8588C">
        <w:rPr>
          <w:b/>
          <w:bCs/>
          <w:color w:val="auto"/>
          <w:sz w:val="36"/>
          <w:szCs w:val="36"/>
        </w:rPr>
        <w:t>СОБРАНИЕ</w:t>
      </w: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0"/>
          <w:szCs w:val="20"/>
        </w:rPr>
      </w:pPr>
      <w:r w:rsidRPr="00A8588C">
        <w:rPr>
          <w:b/>
          <w:bCs/>
          <w:color w:val="auto"/>
          <w:sz w:val="20"/>
          <w:szCs w:val="20"/>
        </w:rPr>
        <w:t>2018-2023</w:t>
      </w: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0"/>
          <w:szCs w:val="20"/>
        </w:rPr>
      </w:pP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32"/>
          <w:szCs w:val="32"/>
        </w:rPr>
      </w:pPr>
      <w:r w:rsidRPr="00A8588C">
        <w:rPr>
          <w:b/>
          <w:bCs/>
          <w:color w:val="auto"/>
          <w:sz w:val="32"/>
          <w:szCs w:val="32"/>
        </w:rPr>
        <w:t>Р Е Ш Е Н И Е</w:t>
      </w:r>
    </w:p>
    <w:p w:rsidR="00A8588C" w:rsidRPr="00A8588C" w:rsidRDefault="00A8588C" w:rsidP="00A8588C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ind w:right="0" w:firstLine="0"/>
        <w:jc w:val="right"/>
        <w:rPr>
          <w:b/>
          <w:bCs/>
          <w:color w:val="auto"/>
          <w:sz w:val="20"/>
          <w:szCs w:val="20"/>
          <w:u w:val="single"/>
        </w:rPr>
      </w:pP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bCs/>
          <w:color w:val="auto"/>
          <w:sz w:val="20"/>
          <w:szCs w:val="20"/>
        </w:rPr>
      </w:pP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A8588C">
        <w:rPr>
          <w:b/>
          <w:color w:val="auto"/>
          <w:sz w:val="24"/>
          <w:szCs w:val="24"/>
        </w:rPr>
        <w:t>№ ______ от __________2021 г.</w:t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  <w:t xml:space="preserve">       </w:t>
      </w:r>
      <w:r w:rsidRPr="00A8588C">
        <w:rPr>
          <w:b/>
          <w:bCs/>
          <w:color w:val="auto"/>
          <w:sz w:val="24"/>
          <w:szCs w:val="24"/>
        </w:rPr>
        <w:t>г. Оха</w:t>
      </w:r>
    </w:p>
    <w:p w:rsidR="00A8588C" w:rsidRPr="00A8588C" w:rsidRDefault="00A8588C" w:rsidP="00A8588C">
      <w:pPr>
        <w:spacing w:after="0" w:line="240" w:lineRule="auto"/>
        <w:ind w:right="0" w:firstLine="0"/>
        <w:jc w:val="left"/>
        <w:rPr>
          <w:b/>
          <w:bCs/>
          <w:color w:val="auto"/>
          <w:sz w:val="24"/>
          <w:szCs w:val="24"/>
        </w:rPr>
      </w:pPr>
    </w:p>
    <w:p w:rsidR="00A8588C" w:rsidRPr="00A8588C" w:rsidRDefault="00A8588C" w:rsidP="00A8588C">
      <w:pPr>
        <w:spacing w:after="0" w:line="240" w:lineRule="auto"/>
        <w:ind w:right="0" w:firstLine="0"/>
        <w:rPr>
          <w:rFonts w:ascii="Bookman Old Style" w:hAnsi="Bookman Old Style" w:cs="Courier New"/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A8588C" w:rsidRPr="00A8588C" w:rsidTr="00A77EED">
        <w:tc>
          <w:tcPr>
            <w:tcW w:w="4678" w:type="dxa"/>
          </w:tcPr>
          <w:p w:rsidR="00A8588C" w:rsidRPr="00A8588C" w:rsidRDefault="001A3EDB" w:rsidP="00B3337E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 внесении изменений и дополнений</w:t>
            </w:r>
            <w:r w:rsidR="00CE3582">
              <w:rPr>
                <w:b/>
                <w:color w:val="auto"/>
                <w:sz w:val="24"/>
                <w:szCs w:val="24"/>
              </w:rPr>
              <w:t xml:space="preserve"> в Положение</w:t>
            </w:r>
            <w:r>
              <w:rPr>
                <w:b/>
                <w:color w:val="auto"/>
                <w:sz w:val="24"/>
                <w:szCs w:val="24"/>
              </w:rPr>
              <w:t xml:space="preserve"> об аренде муниципального имущества, составляющего казну городского округа «Охинский», </w:t>
            </w:r>
            <w:r w:rsidR="00B3337E">
              <w:rPr>
                <w:b/>
                <w:color w:val="auto"/>
                <w:sz w:val="24"/>
                <w:szCs w:val="24"/>
              </w:rPr>
              <w:t>утвержденное</w:t>
            </w:r>
            <w:r w:rsidR="00CE3582">
              <w:rPr>
                <w:b/>
                <w:color w:val="auto"/>
                <w:sz w:val="24"/>
                <w:szCs w:val="24"/>
              </w:rPr>
              <w:t xml:space="preserve"> решением Собрания муниципального образования </w:t>
            </w:r>
            <w:r>
              <w:rPr>
                <w:b/>
                <w:color w:val="auto"/>
                <w:sz w:val="24"/>
                <w:szCs w:val="24"/>
              </w:rPr>
              <w:t>городской округ «Охинский» от 25.06.2015 № 5.21-1</w:t>
            </w:r>
          </w:p>
        </w:tc>
      </w:tr>
    </w:tbl>
    <w:p w:rsidR="00060019" w:rsidRPr="00A8588C" w:rsidRDefault="00060019" w:rsidP="00A8588C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A8588C" w:rsidRPr="00A8588C" w:rsidRDefault="00A8588C" w:rsidP="00642698">
      <w:pPr>
        <w:pStyle w:val="a3"/>
        <w:spacing w:line="360" w:lineRule="auto"/>
      </w:pPr>
      <w:r w:rsidRPr="00A8588C">
        <w:rPr>
          <w:sz w:val="24"/>
          <w:szCs w:val="24"/>
        </w:rPr>
        <w:tab/>
      </w:r>
      <w:r w:rsidRPr="00A8588C">
        <w:t>В соответствии с Гражданским кодексом РФ, ст. 16 Федерального закона от 06.10.2003 № 131-ФЗ «Об общих принципах организации местного самоуправления в Российской Федер</w:t>
      </w:r>
      <w:r w:rsidR="001A3EDB">
        <w:t>ации», Федеральным законом от 26.07.2006 № 135-ФЗ «О защите конкуренции</w:t>
      </w:r>
      <w:r w:rsidRPr="00A8588C">
        <w:t>»</w:t>
      </w:r>
      <w:r w:rsidR="004C7D5D">
        <w:t>,</w:t>
      </w:r>
      <w:r w:rsidR="001A3EDB">
        <w:t xml:space="preserve"> Федеральным законом от 24.07.2007 №</w:t>
      </w:r>
      <w:r w:rsidR="00B3337E">
        <w:t xml:space="preserve"> </w:t>
      </w:r>
      <w:r w:rsidR="001A3EDB">
        <w:t>209-ФЗ «О развитии малого и среднего предпринимательства в Российской Федерации», Приказом Федеральной антимонопольной службы Ро</w:t>
      </w:r>
      <w:r w:rsidR="0018565F">
        <w:t>ссийской Федерации от 10.02.2010</w:t>
      </w:r>
      <w:r w:rsidR="001A3EDB"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</w:t>
      </w:r>
      <w:r w:rsidR="00B3337E">
        <w:t>ительного управления имуществом</w:t>
      </w:r>
      <w:r w:rsidR="001A3EDB">
        <w:t>, иных договоров, предусматривающих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A8588C">
        <w:t xml:space="preserve"> руководствуясь Уставом муниципального образования городской округ «Охинский»</w:t>
      </w:r>
    </w:p>
    <w:p w:rsidR="00060019" w:rsidRPr="00A8588C" w:rsidRDefault="00060019" w:rsidP="00642698">
      <w:pPr>
        <w:pStyle w:val="a3"/>
        <w:spacing w:line="360" w:lineRule="auto"/>
        <w:rPr>
          <w:sz w:val="24"/>
          <w:szCs w:val="24"/>
        </w:rPr>
      </w:pPr>
    </w:p>
    <w:p w:rsidR="00A8588C" w:rsidRPr="00A8588C" w:rsidRDefault="00A8588C" w:rsidP="00642698">
      <w:pPr>
        <w:pStyle w:val="a3"/>
        <w:spacing w:line="360" w:lineRule="auto"/>
        <w:jc w:val="center"/>
        <w:rPr>
          <w:b/>
        </w:rPr>
      </w:pPr>
      <w:r w:rsidRPr="00A8588C">
        <w:rPr>
          <w:b/>
        </w:rPr>
        <w:t>Собрание РЕШИЛО:</w:t>
      </w:r>
    </w:p>
    <w:p w:rsidR="00A8588C" w:rsidRPr="00A8588C" w:rsidRDefault="00A8588C" w:rsidP="00453793">
      <w:pPr>
        <w:pStyle w:val="a3"/>
        <w:spacing w:line="276" w:lineRule="auto"/>
        <w:rPr>
          <w:b/>
        </w:rPr>
      </w:pPr>
    </w:p>
    <w:p w:rsidR="00E769E8" w:rsidRDefault="00A8588C" w:rsidP="00453793">
      <w:pPr>
        <w:pStyle w:val="a3"/>
        <w:spacing w:line="276" w:lineRule="auto"/>
      </w:pPr>
      <w:r w:rsidRPr="00A8588C">
        <w:tab/>
        <w:t>1.</w:t>
      </w:r>
      <w:r w:rsidR="00D134BC">
        <w:t xml:space="preserve"> </w:t>
      </w:r>
      <w:r w:rsidR="00E769E8">
        <w:t xml:space="preserve">Внести </w:t>
      </w:r>
      <w:r w:rsidR="000C7075">
        <w:t>в Положение</w:t>
      </w:r>
      <w:r w:rsidR="00E769E8">
        <w:t xml:space="preserve"> «Об аренде муниципального имущества, составляющего казну городского округа «Охинский»</w:t>
      </w:r>
      <w:r w:rsidR="000C7075">
        <w:t>, утвержденное</w:t>
      </w:r>
      <w:r w:rsidR="00454B86">
        <w:t xml:space="preserve"> решением </w:t>
      </w:r>
      <w:r w:rsidR="00454B86">
        <w:lastRenderedPageBreak/>
        <w:t>Собрания муниципального образования городской округ «Охинский» от 25.06.2015 № 5.21-1,</w:t>
      </w:r>
      <w:r w:rsidR="000C7075">
        <w:t xml:space="preserve"> следующие изменения и дополнения:</w:t>
      </w:r>
    </w:p>
    <w:p w:rsidR="000C7075" w:rsidRDefault="000C7075" w:rsidP="00453793">
      <w:pPr>
        <w:pStyle w:val="a3"/>
        <w:spacing w:line="276" w:lineRule="auto"/>
      </w:pPr>
      <w:r>
        <w:t>- пункт 2.2 изложить в следующей редакции: «</w:t>
      </w:r>
      <w:r w:rsidR="00EF01DD">
        <w:t>Передача муниципального имущества в аренду без проведения торгов осущ</w:t>
      </w:r>
      <w:r w:rsidR="00E65085">
        <w:t>ествляется в соответствии со статьей</w:t>
      </w:r>
      <w:r w:rsidR="00EF01DD">
        <w:t xml:space="preserve"> 17.1 Федерального закона от 26.07.2006 № 135-ФЗ «О защите конкуренции.</w:t>
      </w:r>
    </w:p>
    <w:p w:rsidR="00EF01DD" w:rsidRDefault="00EF01DD" w:rsidP="00453793">
      <w:pPr>
        <w:pStyle w:val="a3"/>
        <w:spacing w:line="276" w:lineRule="auto"/>
      </w:pPr>
      <w:r>
        <w:t xml:space="preserve">Заключение договоров аренды на новый срок без проведения торгов </w:t>
      </w:r>
      <w:r w:rsidR="00E65085">
        <w:t>осуществляется в соответствии с частью 9 статьи 17.1 Федерального закона от 26.07.2006 № 135-ФЗ «О защите конкуренции».</w:t>
      </w:r>
    </w:p>
    <w:p w:rsidR="00E65085" w:rsidRDefault="00082000" w:rsidP="00453793">
      <w:pPr>
        <w:pStyle w:val="a3"/>
        <w:spacing w:line="276" w:lineRule="auto"/>
      </w:pPr>
      <w:r>
        <w:t>В остальных случаях заключение договоров аренды муниципального имущества производится по результатам проведения торгов.</w:t>
      </w:r>
      <w:r w:rsidR="00487864">
        <w:t>»</w:t>
      </w:r>
      <w:r w:rsidR="00136D7A">
        <w:t>;</w:t>
      </w:r>
    </w:p>
    <w:p w:rsidR="00487864" w:rsidRDefault="00136D7A" w:rsidP="00453793">
      <w:pPr>
        <w:pStyle w:val="a3"/>
        <w:spacing w:line="276" w:lineRule="auto"/>
      </w:pPr>
      <w:r>
        <w:t>- пункт 2.14 исключить;</w:t>
      </w:r>
    </w:p>
    <w:p w:rsidR="00136D7A" w:rsidRDefault="00136D7A" w:rsidP="00453793">
      <w:pPr>
        <w:pStyle w:val="a3"/>
        <w:spacing w:line="276" w:lineRule="auto"/>
      </w:pPr>
      <w:r>
        <w:t>- абзац 4 пункта 4.5 после слов: «муниципального</w:t>
      </w:r>
      <w:r w:rsidR="00962A24">
        <w:t>» дополнить словом: «движимого».</w:t>
      </w:r>
    </w:p>
    <w:p w:rsidR="00454B86" w:rsidRDefault="00F774FD" w:rsidP="00453793">
      <w:pPr>
        <w:pStyle w:val="a3"/>
        <w:spacing w:line="276" w:lineRule="auto"/>
      </w:pPr>
      <w:r>
        <w:t>- д</w:t>
      </w:r>
      <w:r w:rsidR="00190FF2">
        <w:t>ополнить</w:t>
      </w:r>
      <w:r w:rsidR="00D86FD8">
        <w:t xml:space="preserve"> </w:t>
      </w:r>
      <w:r w:rsidR="00B3337E">
        <w:t>Положение статьей 4.1</w:t>
      </w:r>
      <w:r w:rsidR="00CE3582">
        <w:t xml:space="preserve"> следующего содержания:</w:t>
      </w:r>
    </w:p>
    <w:p w:rsidR="000B1D8C" w:rsidRPr="000B1D8C" w:rsidRDefault="000B1D8C" w:rsidP="00453793">
      <w:pPr>
        <w:pStyle w:val="a3"/>
        <w:spacing w:line="276" w:lineRule="auto"/>
        <w:jc w:val="center"/>
        <w:rPr>
          <w:b/>
        </w:rPr>
      </w:pPr>
      <w:r>
        <w:t>«</w:t>
      </w:r>
      <w:r w:rsidRPr="000B1D8C">
        <w:rPr>
          <w:b/>
        </w:rPr>
        <w:t xml:space="preserve">4.1 Зачет стоимости затрат арендатора на </w:t>
      </w:r>
    </w:p>
    <w:p w:rsidR="000B1D8C" w:rsidRPr="000B1D8C" w:rsidRDefault="000B1D8C" w:rsidP="00453793">
      <w:pPr>
        <w:pStyle w:val="a3"/>
        <w:spacing w:line="276" w:lineRule="auto"/>
        <w:jc w:val="center"/>
        <w:rPr>
          <w:b/>
        </w:rPr>
      </w:pPr>
      <w:r w:rsidRPr="000B1D8C">
        <w:rPr>
          <w:b/>
        </w:rPr>
        <w:t xml:space="preserve">проведение капитального ремонта арендуемых им </w:t>
      </w:r>
    </w:p>
    <w:p w:rsidR="000B1D8C" w:rsidRPr="000B1D8C" w:rsidRDefault="000B1D8C" w:rsidP="00453793">
      <w:pPr>
        <w:pStyle w:val="a3"/>
        <w:spacing w:line="276" w:lineRule="auto"/>
        <w:jc w:val="center"/>
        <w:rPr>
          <w:b/>
        </w:rPr>
      </w:pPr>
      <w:r w:rsidRPr="000B1D8C">
        <w:rPr>
          <w:b/>
        </w:rPr>
        <w:t xml:space="preserve">объектов недвижимого имущества в счет арендной платы </w:t>
      </w:r>
    </w:p>
    <w:p w:rsidR="000B1D8C" w:rsidRDefault="000B1D8C" w:rsidP="00453793">
      <w:pPr>
        <w:pStyle w:val="a3"/>
        <w:spacing w:line="276" w:lineRule="auto"/>
        <w:jc w:val="center"/>
      </w:pPr>
    </w:p>
    <w:p w:rsidR="00454B86" w:rsidRDefault="00E8065A" w:rsidP="00453793">
      <w:pPr>
        <w:pStyle w:val="a3"/>
        <w:spacing w:line="276" w:lineRule="auto"/>
      </w:pPr>
      <w:r w:rsidRPr="000C6CEE">
        <w:t>«</w:t>
      </w:r>
      <w:r w:rsidR="00B3337E">
        <w:t>4.1</w:t>
      </w:r>
      <w:r w:rsidR="000B1D8C">
        <w:t>.1</w:t>
      </w:r>
      <w:r w:rsidR="000C6CEE" w:rsidRPr="000C6CEE">
        <w:t xml:space="preserve"> </w:t>
      </w:r>
      <w:r w:rsidR="000C6CEE">
        <w:t>З</w:t>
      </w:r>
      <w:r w:rsidR="00454B86">
        <w:t>ачет стоимости затрат арендатора на проведение капитального ремо</w:t>
      </w:r>
      <w:r w:rsidR="00B3337E">
        <w:t>нта</w:t>
      </w:r>
      <w:r w:rsidR="00454B86">
        <w:t xml:space="preserve"> арендуемых им объектов недвижимого имущества в счет арендной платы про</w:t>
      </w:r>
      <w:r w:rsidR="00B3337E">
        <w:t>изводится в случае, если</w:t>
      </w:r>
      <w:r w:rsidR="00454B86">
        <w:t xml:space="preserve"> при рас</w:t>
      </w:r>
      <w:r w:rsidR="00C94340">
        <w:t>чете арендной платы</w:t>
      </w:r>
      <w:r w:rsidR="00B3337E">
        <w:t xml:space="preserve"> в соответствии с Методикой расчета арендной платы за пользование муниципальным имуществом не применен</w:t>
      </w:r>
      <w:r w:rsidR="00C94340">
        <w:t xml:space="preserve"> </w:t>
      </w:r>
      <w:r w:rsidR="00B3337E">
        <w:t>коэффициент К3, установленный</w:t>
      </w:r>
      <w:r w:rsidR="00C94340">
        <w:t xml:space="preserve"> для зданий, сооружений, нежилых помещений</w:t>
      </w:r>
      <w:r w:rsidR="00B3337E">
        <w:t xml:space="preserve"> и частей</w:t>
      </w:r>
      <w:r w:rsidR="00C94340" w:rsidRPr="00C94340">
        <w:t xml:space="preserve"> зданий, </w:t>
      </w:r>
      <w:r w:rsidR="00C94340">
        <w:t>сооружений, помещений, находящих</w:t>
      </w:r>
      <w:r w:rsidR="00C94340" w:rsidRPr="00C94340">
        <w:t>ся в технически н</w:t>
      </w:r>
      <w:r w:rsidR="00C94340">
        <w:t>еисправном состоянии и требующих</w:t>
      </w:r>
      <w:r w:rsidR="00C94340" w:rsidRPr="00C94340">
        <w:t xml:space="preserve"> </w:t>
      </w:r>
      <w:r w:rsidR="00C94340">
        <w:t>капитального ремонта, переданных</w:t>
      </w:r>
      <w:r w:rsidR="00C94340" w:rsidRPr="00C94340">
        <w:t xml:space="preserve"> в аренду на срок от 1 (одного) года до 5 (пяти) лет для проведения восстановительных работ</w:t>
      </w:r>
      <w:r w:rsidR="00C94340">
        <w:t>, предусматривающего</w:t>
      </w:r>
      <w:r w:rsidR="00454B86">
        <w:t xml:space="preserve"> восстановительные работы на объекте.</w:t>
      </w:r>
    </w:p>
    <w:p w:rsidR="00454B86" w:rsidRDefault="00D86FD8" w:rsidP="00453793">
      <w:pPr>
        <w:pStyle w:val="a3"/>
        <w:spacing w:line="276" w:lineRule="auto"/>
      </w:pPr>
      <w:r>
        <w:t>Зачет стоимости</w:t>
      </w:r>
      <w:r w:rsidR="00CA14CA">
        <w:t xml:space="preserve"> затрат на проведение капитального ремонта осуществляется на основании Дополнительного соглашения к договору аренды </w:t>
      </w:r>
      <w:r w:rsidR="00AC6718">
        <w:t xml:space="preserve">недвижимого </w:t>
      </w:r>
      <w:r w:rsidR="00CA14CA">
        <w:t>муниципального имущества.</w:t>
      </w:r>
    </w:p>
    <w:p w:rsidR="00454B86" w:rsidRDefault="000B1D8C" w:rsidP="00453793">
      <w:pPr>
        <w:pStyle w:val="a3"/>
        <w:spacing w:line="276" w:lineRule="auto"/>
      </w:pPr>
      <w:r>
        <w:t>4.1.2</w:t>
      </w:r>
      <w:r w:rsidR="0087087D">
        <w:t xml:space="preserve"> </w:t>
      </w:r>
      <w:r w:rsidR="00AC6718">
        <w:t>Зачету</w:t>
      </w:r>
      <w:r w:rsidR="00454B86">
        <w:t xml:space="preserve"> подлежат </w:t>
      </w:r>
      <w:r w:rsidR="00AC6718">
        <w:t>следующие з</w:t>
      </w:r>
      <w:r w:rsidR="00454B86">
        <w:t>атраты арендатора:</w:t>
      </w:r>
    </w:p>
    <w:p w:rsidR="00454B86" w:rsidRDefault="00454B86" w:rsidP="00453793">
      <w:pPr>
        <w:pStyle w:val="a3"/>
        <w:spacing w:line="276" w:lineRule="auto"/>
      </w:pPr>
      <w:r>
        <w:t>- на обследование объекта и изготовление проектной документации;</w:t>
      </w:r>
    </w:p>
    <w:p w:rsidR="00454B86" w:rsidRDefault="00454B86" w:rsidP="00453793">
      <w:pPr>
        <w:pStyle w:val="a3"/>
        <w:spacing w:line="276" w:lineRule="auto"/>
      </w:pPr>
      <w:r>
        <w:t>- на проведение капитального ремонта (неотделимых улучшений);</w:t>
      </w:r>
    </w:p>
    <w:p w:rsidR="00454B86" w:rsidRDefault="00454B86" w:rsidP="00453793">
      <w:pPr>
        <w:pStyle w:val="a3"/>
        <w:spacing w:line="276" w:lineRule="auto"/>
      </w:pPr>
      <w:r>
        <w:t>- 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зданий, включая:</w:t>
      </w:r>
    </w:p>
    <w:p w:rsidR="00454B86" w:rsidRDefault="00454B86" w:rsidP="00453793">
      <w:pPr>
        <w:pStyle w:val="a3"/>
        <w:spacing w:line="276" w:lineRule="auto"/>
      </w:pPr>
      <w:r>
        <w:lastRenderedPageBreak/>
        <w:t>- ремонт и усиление стен;</w:t>
      </w:r>
    </w:p>
    <w:p w:rsidR="00454B86" w:rsidRDefault="00454B86" w:rsidP="00453793">
      <w:pPr>
        <w:pStyle w:val="a3"/>
        <w:spacing w:line="276" w:lineRule="auto"/>
      </w:pPr>
      <w:r>
        <w:t>- усиление фундамента, наращивание фундамента;</w:t>
      </w:r>
    </w:p>
    <w:p w:rsidR="00454B86" w:rsidRDefault="00454B86" w:rsidP="00453793">
      <w:pPr>
        <w:pStyle w:val="a3"/>
        <w:spacing w:line="276" w:lineRule="auto"/>
      </w:pPr>
      <w:r>
        <w:t>- смена лаг, перестилка дощатых полов, замена линолеума на керамическую плитку;</w:t>
      </w:r>
    </w:p>
    <w:p w:rsidR="00454B86" w:rsidRDefault="00454B86" w:rsidP="00453793">
      <w:pPr>
        <w:pStyle w:val="a3"/>
        <w:spacing w:line="276" w:lineRule="auto"/>
      </w:pPr>
      <w:r>
        <w:t>- замена, укрепление и ремонт дверных (оконных) коробок и полотен;</w:t>
      </w:r>
    </w:p>
    <w:p w:rsidR="00454B86" w:rsidRDefault="00454B86" w:rsidP="00453793">
      <w:pPr>
        <w:pStyle w:val="a3"/>
        <w:spacing w:line="276" w:lineRule="auto"/>
      </w:pPr>
      <w:r>
        <w:t>- изменение конструкции крыш;</w:t>
      </w:r>
    </w:p>
    <w:p w:rsidR="00454B86" w:rsidRDefault="00454B86" w:rsidP="00453793">
      <w:pPr>
        <w:pStyle w:val="a3"/>
        <w:spacing w:line="276" w:lineRule="auto"/>
      </w:pPr>
      <w:r>
        <w:t>- замену изношенных элементов инженерных сетей;</w:t>
      </w:r>
    </w:p>
    <w:p w:rsidR="00454B86" w:rsidRDefault="00454B86" w:rsidP="00453793">
      <w:pPr>
        <w:pStyle w:val="a3"/>
        <w:spacing w:line="276" w:lineRule="auto"/>
      </w:pPr>
      <w:r>
        <w:tab/>
        <w:t>При включении затрат арендатора на капитальный ремонт для проведения зачета в счет арендной платы, все отделимые улучшения, выполненные при этом, становятся муниципальной собственностью.</w:t>
      </w:r>
    </w:p>
    <w:p w:rsidR="00454B86" w:rsidRDefault="00454B86" w:rsidP="00453793">
      <w:pPr>
        <w:pStyle w:val="a3"/>
        <w:spacing w:line="276" w:lineRule="auto"/>
      </w:pPr>
      <w:r>
        <w:t>Стоимость отделочных, а также иных работ, связанных со специфическими потребностями арендатора (перепланировка помещений, устройство дополнительных входов, работы по обеспечен</w:t>
      </w:r>
      <w:r w:rsidR="00EC6F76">
        <w:t>ию дополнительным тепло</w:t>
      </w:r>
      <w:r w:rsidR="000B1D8C">
        <w:t xml:space="preserve">, </w:t>
      </w:r>
      <w:proofErr w:type="spellStart"/>
      <w:r w:rsidR="00DB0384">
        <w:t>энерго</w:t>
      </w:r>
      <w:proofErr w:type="spellEnd"/>
      <w:r>
        <w:t>,</w:t>
      </w:r>
      <w:r w:rsidR="00DB0384">
        <w:t xml:space="preserve"> </w:t>
      </w:r>
      <w:r>
        <w:t>водоснабжением, технологическим оборудованием, благоустройство и озеленение прилегающей территории, устройство охранной сигнализации, устройство пожарной сигнализации), не подлежит зачету в счет арендной платы.</w:t>
      </w:r>
    </w:p>
    <w:p w:rsidR="00454B86" w:rsidRDefault="000F632A" w:rsidP="00453793">
      <w:pPr>
        <w:pStyle w:val="a3"/>
        <w:spacing w:line="276" w:lineRule="auto"/>
      </w:pPr>
      <w:r>
        <w:t>4.1.3</w:t>
      </w:r>
      <w:r w:rsidR="0087087D">
        <w:t xml:space="preserve"> </w:t>
      </w:r>
      <w:r w:rsidR="00454B86">
        <w:t>Для проведения капитального ремонта или иных неотделимых улучшений объекта с применением зачета затрат арендатора в счет арендно</w:t>
      </w:r>
      <w:r w:rsidR="0087087D">
        <w:t>й платы</w:t>
      </w:r>
      <w:r w:rsidR="00454B86">
        <w:t xml:space="preserve"> арендатор представляет в Комитет следующие документы:</w:t>
      </w:r>
    </w:p>
    <w:p w:rsidR="00454B86" w:rsidRDefault="0087087D" w:rsidP="00453793">
      <w:pPr>
        <w:pStyle w:val="a3"/>
        <w:spacing w:line="276" w:lineRule="auto"/>
      </w:pPr>
      <w:r>
        <w:t>- з</w:t>
      </w:r>
      <w:r w:rsidR="006856CC">
        <w:t>аявление о согласовании</w:t>
      </w:r>
      <w:r w:rsidR="00454B86">
        <w:t xml:space="preserve"> проведения капитального ремонта (неотделимых улучшений) </w:t>
      </w:r>
      <w:r w:rsidR="000F632A">
        <w:t>объекта с зачетом затрат в счет</w:t>
      </w:r>
      <w:r w:rsidR="00454B86">
        <w:t xml:space="preserve"> арендной</w:t>
      </w:r>
      <w:r w:rsidR="000F632A">
        <w:t xml:space="preserve"> платы</w:t>
      </w:r>
      <w:r>
        <w:t>;</w:t>
      </w:r>
    </w:p>
    <w:p w:rsidR="00454B86" w:rsidRDefault="0087087D" w:rsidP="00453793">
      <w:pPr>
        <w:pStyle w:val="a3"/>
        <w:spacing w:line="276" w:lineRule="auto"/>
      </w:pPr>
      <w:r>
        <w:t>- а</w:t>
      </w:r>
      <w:r w:rsidR="00454B86">
        <w:t>кт технического обследования (техническое заключение), отражающий фактическое состояние объекта и обосновывающий необходимость проведени</w:t>
      </w:r>
      <w:r w:rsidR="000F632A">
        <w:t>я работ</w:t>
      </w:r>
      <w:r>
        <w:t>;</w:t>
      </w:r>
    </w:p>
    <w:p w:rsidR="00454B86" w:rsidRDefault="0087087D" w:rsidP="00453793">
      <w:pPr>
        <w:pStyle w:val="a3"/>
        <w:spacing w:line="276" w:lineRule="auto"/>
      </w:pPr>
      <w:r>
        <w:t>- п</w:t>
      </w:r>
      <w:r w:rsidR="00454B86">
        <w:t>ро</w:t>
      </w:r>
      <w:r>
        <w:t>ектно-</w:t>
      </w:r>
      <w:r w:rsidR="004C0864">
        <w:t>сметную документацию</w:t>
      </w:r>
      <w:r w:rsidR="00454B86">
        <w:t xml:space="preserve"> на проведение работ по улучшению арендуемого объекта</w:t>
      </w:r>
      <w:r w:rsidR="003A1AAF">
        <w:t>,</w:t>
      </w:r>
      <w:r>
        <w:t xml:space="preserve"> либо локально-сметный расчет, который должен быть выполнен</w:t>
      </w:r>
      <w:r w:rsidR="00454B86">
        <w:t xml:space="preserve"> спец</w:t>
      </w:r>
      <w:r w:rsidR="005451E1">
        <w:t>иализированной организацией. С</w:t>
      </w:r>
      <w:r w:rsidR="00454B86">
        <w:t>мета должна отражать объем и виды работ, разрабатываться на основе акта технического обследования объекта. В случае ремонта инженерных сетей проектная документация</w:t>
      </w:r>
      <w:r w:rsidR="004C0864">
        <w:t xml:space="preserve"> (локально сметный расчет)</w:t>
      </w:r>
      <w:r w:rsidR="00454B86">
        <w:t xml:space="preserve"> согласовывается с соответствующей эксплуатационной службой, а в случае проведения капитального ремонта с изменением внешнего архитектурного облика объекта - с отделом архитектуры и градостроительства администрации городского округа «Охинский». При подготовке сметы должны применяться нормы, нормативы, расценки и коэффициенты пересчета, используемые при работах, финансируемых из бюджетных источников. </w:t>
      </w:r>
    </w:p>
    <w:p w:rsidR="00454B86" w:rsidRDefault="000F632A" w:rsidP="00453793">
      <w:pPr>
        <w:pStyle w:val="a3"/>
        <w:spacing w:line="276" w:lineRule="auto"/>
      </w:pPr>
      <w:r>
        <w:t>4.1</w:t>
      </w:r>
      <w:r w:rsidR="00042C05">
        <w:t>.</w:t>
      </w:r>
      <w:r>
        <w:t>4</w:t>
      </w:r>
      <w:r w:rsidR="00E05FB3">
        <w:t xml:space="preserve"> </w:t>
      </w:r>
      <w:r>
        <w:t>Комитет в течен</w:t>
      </w:r>
      <w:r w:rsidR="00042C05">
        <w:t>и</w:t>
      </w:r>
      <w:r w:rsidR="00E05FB3">
        <w:t>е</w:t>
      </w:r>
      <w:r>
        <w:t xml:space="preserve"> </w:t>
      </w:r>
      <w:r w:rsidR="00042C05">
        <w:t>5 рабочих дней</w:t>
      </w:r>
      <w:r>
        <w:t xml:space="preserve"> со дня получения документов, указанных в пункте 4.1.3</w:t>
      </w:r>
      <w:r w:rsidR="00D34655">
        <w:t xml:space="preserve"> настоящего Положения</w:t>
      </w:r>
      <w:r w:rsidR="00454B86">
        <w:t xml:space="preserve"> принимает одно из следующих решений:</w:t>
      </w:r>
    </w:p>
    <w:p w:rsidR="00454B86" w:rsidRDefault="00454B86" w:rsidP="00453793">
      <w:pPr>
        <w:pStyle w:val="a3"/>
        <w:spacing w:line="276" w:lineRule="auto"/>
      </w:pPr>
      <w:r>
        <w:lastRenderedPageBreak/>
        <w:t>- согласовать проведение капитального ремонта (работ по улучшению) объекта с зачетом стоимости работ в счет арендной платы после их завершения;</w:t>
      </w:r>
    </w:p>
    <w:p w:rsidR="00454B86" w:rsidRDefault="00454B86" w:rsidP="00453793">
      <w:pPr>
        <w:pStyle w:val="a3"/>
        <w:spacing w:line="276" w:lineRule="auto"/>
      </w:pPr>
      <w:r>
        <w:t>- отказать в согласовании капитального ремонта или производ</w:t>
      </w:r>
      <w:r w:rsidR="00E05FB3">
        <w:t>ства иных неотделимых улучшений</w:t>
      </w:r>
      <w:r>
        <w:t>.</w:t>
      </w:r>
    </w:p>
    <w:p w:rsidR="00454B86" w:rsidRDefault="00537986" w:rsidP="00453793">
      <w:pPr>
        <w:pStyle w:val="a3"/>
        <w:spacing w:line="276" w:lineRule="auto"/>
      </w:pPr>
      <w:r>
        <w:t>В случае принятия</w:t>
      </w:r>
      <w:r w:rsidR="00454B86">
        <w:t xml:space="preserve"> положительного решения Комитет определяет виды работ и размер затрат арендатора, которые могут быть зачтены в счет арендной платы. </w:t>
      </w:r>
    </w:p>
    <w:p w:rsidR="00454B86" w:rsidRDefault="00537986" w:rsidP="00453793">
      <w:pPr>
        <w:pStyle w:val="a3"/>
        <w:spacing w:line="276" w:lineRule="auto"/>
      </w:pPr>
      <w:r>
        <w:t>В случае принятия</w:t>
      </w:r>
      <w:r w:rsidR="00E05FB3">
        <w:t xml:space="preserve"> отрицательного решения Комитет</w:t>
      </w:r>
      <w:r w:rsidR="00454B86">
        <w:t xml:space="preserve"> дает арендатору мотивированный отказ.</w:t>
      </w:r>
    </w:p>
    <w:p w:rsidR="00454B86" w:rsidRDefault="00454B86" w:rsidP="00453793">
      <w:pPr>
        <w:pStyle w:val="a3"/>
        <w:spacing w:line="276" w:lineRule="auto"/>
      </w:pPr>
      <w:r>
        <w:t xml:space="preserve">О принятом решении Арендатор </w:t>
      </w:r>
      <w:r w:rsidR="00E05FB3">
        <w:t>уведомляется письменно в течение</w:t>
      </w:r>
      <w:r>
        <w:t xml:space="preserve"> 2-х рабочих дней.</w:t>
      </w:r>
    </w:p>
    <w:p w:rsidR="00454B86" w:rsidRDefault="00D34655" w:rsidP="00453793">
      <w:pPr>
        <w:pStyle w:val="a3"/>
        <w:spacing w:line="276" w:lineRule="auto"/>
      </w:pPr>
      <w:r>
        <w:t>4.1.5</w:t>
      </w:r>
      <w:r w:rsidR="00454B86">
        <w:t xml:space="preserve"> Во</w:t>
      </w:r>
      <w:r w:rsidR="002E5872">
        <w:t>змещение затрат арендатору производит</w:t>
      </w:r>
      <w:r w:rsidR="00454B86">
        <w:t>ся путем уменьшения арендной платы за арендованный объект. Уменьшение устано</w:t>
      </w:r>
      <w:r w:rsidR="00483EE6">
        <w:t>вленной за объект недвижимого имущества</w:t>
      </w:r>
      <w:r w:rsidR="00454B86">
        <w:t xml:space="preserve"> арендной платы на сумму произведенных затрат (или части затрат) арендатора на выполнение ремонтных работ осуществляется путем прекращения обязанности арендатора по уплате арендно</w:t>
      </w:r>
      <w:r w:rsidR="00483EE6">
        <w:t>й платы за объект недвижимого имущества</w:t>
      </w:r>
      <w:r w:rsidR="00454B86">
        <w:t xml:space="preserve"> на пер</w:t>
      </w:r>
      <w:r w:rsidR="002E5872">
        <w:t>иод возмещения указанных затрат.</w:t>
      </w:r>
    </w:p>
    <w:p w:rsidR="00454B86" w:rsidRDefault="002219FC" w:rsidP="00453793">
      <w:pPr>
        <w:pStyle w:val="a3"/>
        <w:spacing w:line="276" w:lineRule="auto"/>
      </w:pPr>
      <w:r>
        <w:t>З</w:t>
      </w:r>
      <w:r w:rsidR="00454B86">
        <w:t>атраты арендатора на проведение ремонтных работ возмещаются арендатору без учета налога на добавленную стоимость.</w:t>
      </w:r>
    </w:p>
    <w:p w:rsidR="00454B86" w:rsidRDefault="006358DD" w:rsidP="00453793">
      <w:pPr>
        <w:pStyle w:val="a3"/>
        <w:spacing w:line="276" w:lineRule="auto"/>
      </w:pPr>
      <w:r>
        <w:t>4.</w:t>
      </w:r>
      <w:r w:rsidR="003B3EE1">
        <w:t>1</w:t>
      </w:r>
      <w:r w:rsidR="00454B86">
        <w:t>.</w:t>
      </w:r>
      <w:r w:rsidR="003B3EE1">
        <w:t>6</w:t>
      </w:r>
      <w:r w:rsidR="00454B86">
        <w:t xml:space="preserve"> При выявлении в ходе производства капитального ремонта (неотделимых улучшений) объекта необходимости проведения работ, не установленных согласованной сметой на его п</w:t>
      </w:r>
      <w:r w:rsidR="002219FC">
        <w:t xml:space="preserve">роведение, арендатор </w:t>
      </w:r>
      <w:r w:rsidR="00454B86">
        <w:t>вносит предложения по вклю</w:t>
      </w:r>
      <w:r w:rsidR="002219FC">
        <w:t>чению дополнений и изменений в Д</w:t>
      </w:r>
      <w:r w:rsidR="00454B86">
        <w:t>ополнительное соглашение.</w:t>
      </w:r>
    </w:p>
    <w:p w:rsidR="00454B86" w:rsidRDefault="003B3EE1" w:rsidP="00453793">
      <w:pPr>
        <w:pStyle w:val="a3"/>
        <w:spacing w:line="276" w:lineRule="auto"/>
      </w:pPr>
      <w:r>
        <w:t>4.1.7</w:t>
      </w:r>
      <w:r w:rsidR="00454B86">
        <w:t xml:space="preserve"> Зачет стоимости работ по проведению капитального ремонта (неотделимых улучшений) объекта в счет арендной платы производится по окончании работ (этапа работ) на основании следующих документов, представляемых арендатором в Комитет не позднее тридцати дней с даты окончания работ (этапа раб</w:t>
      </w:r>
      <w:r w:rsidR="006358DD">
        <w:t>от)</w:t>
      </w:r>
      <w:r w:rsidR="00454B86">
        <w:t>:</w:t>
      </w:r>
    </w:p>
    <w:p w:rsidR="00454B86" w:rsidRDefault="00454B86" w:rsidP="00453793">
      <w:pPr>
        <w:pStyle w:val="a3"/>
        <w:spacing w:line="276" w:lineRule="auto"/>
      </w:pPr>
      <w:r>
        <w:t>- акта выполненных работ;</w:t>
      </w:r>
    </w:p>
    <w:p w:rsidR="00454B86" w:rsidRDefault="00454B86" w:rsidP="00453793">
      <w:pPr>
        <w:pStyle w:val="a3"/>
        <w:spacing w:line="276" w:lineRule="auto"/>
      </w:pPr>
      <w:r>
        <w:t>- платежных документов, подтверждающих затраты на выполненные работы, с отметкой банка.</w:t>
      </w:r>
    </w:p>
    <w:p w:rsidR="00454B86" w:rsidRDefault="003B3EE1" w:rsidP="00453793">
      <w:pPr>
        <w:pStyle w:val="a3"/>
        <w:spacing w:line="276" w:lineRule="auto"/>
      </w:pPr>
      <w:r>
        <w:t>4.1.8</w:t>
      </w:r>
      <w:r w:rsidR="00454B86">
        <w:t xml:space="preserve"> </w:t>
      </w:r>
      <w:proofErr w:type="gramStart"/>
      <w:r w:rsidR="00454B86">
        <w:t>В</w:t>
      </w:r>
      <w:proofErr w:type="gramEnd"/>
      <w:r w:rsidR="00454B86">
        <w:t xml:space="preserve"> случае увеличения в представленных документах суммы произведенных затрат по сравнению с указанной в дополнительном соглашении к договору аренды и ранее согласованной сметой:</w:t>
      </w:r>
    </w:p>
    <w:p w:rsidR="00454B86" w:rsidRDefault="00454B86" w:rsidP="00453793">
      <w:pPr>
        <w:pStyle w:val="a3"/>
        <w:spacing w:line="276" w:lineRule="auto"/>
      </w:pPr>
      <w:r>
        <w:t>- затраты сверх согласованной суммы в качестве арендной платы не засчитываются;</w:t>
      </w:r>
    </w:p>
    <w:p w:rsidR="00454B86" w:rsidRDefault="00454B86" w:rsidP="00453793">
      <w:pPr>
        <w:pStyle w:val="a3"/>
        <w:spacing w:line="276" w:lineRule="auto"/>
      </w:pPr>
      <w:r>
        <w:t>- сторонами договора аренды могут быть оформле</w:t>
      </w:r>
      <w:r w:rsidR="006358DD">
        <w:t>ны соответствующие изменения к Д</w:t>
      </w:r>
      <w:r>
        <w:t xml:space="preserve">ополнительному соглашению при условии предоставления </w:t>
      </w:r>
      <w:r>
        <w:lastRenderedPageBreak/>
        <w:t>арендатором акта дополнительного технического обследования объекта и иных обоснований увеличения затрат.</w:t>
      </w:r>
      <w:r w:rsidR="00E8065A">
        <w:t>»</w:t>
      </w:r>
      <w:r w:rsidR="00F01CF1">
        <w:t>;</w:t>
      </w:r>
    </w:p>
    <w:p w:rsidR="007F4207" w:rsidRDefault="00453793" w:rsidP="00453793">
      <w:pPr>
        <w:pStyle w:val="a3"/>
        <w:spacing w:line="276" w:lineRule="auto"/>
      </w:pPr>
      <w:r>
        <w:t>- пункт 6.2 исключить.</w:t>
      </w:r>
    </w:p>
    <w:p w:rsidR="00BD32D6" w:rsidRDefault="00453793" w:rsidP="00453793">
      <w:pPr>
        <w:pStyle w:val="a3"/>
        <w:spacing w:line="276" w:lineRule="auto"/>
      </w:pPr>
      <w:r>
        <w:t>В</w:t>
      </w:r>
      <w:r w:rsidR="00BD32D6">
        <w:t xml:space="preserve"> Приложении</w:t>
      </w:r>
      <w:r w:rsidR="00F774FD">
        <w:t xml:space="preserve"> № 1 к Положению «Об аренде муниципального имущества, составляющего казну городского округа «Охинский»</w:t>
      </w:r>
      <w:r w:rsidR="00BD32D6">
        <w:t>:</w:t>
      </w:r>
    </w:p>
    <w:p w:rsidR="00F01CF1" w:rsidRDefault="00BD32D6" w:rsidP="00453793">
      <w:pPr>
        <w:pStyle w:val="a3"/>
        <w:spacing w:line="276" w:lineRule="auto"/>
      </w:pPr>
      <w:r>
        <w:t>-</w:t>
      </w:r>
      <w:r w:rsidR="00F774FD">
        <w:t xml:space="preserve"> </w:t>
      </w:r>
      <w:r w:rsidRPr="00BD32D6">
        <w:t xml:space="preserve">пункт 3.4.4 </w:t>
      </w:r>
      <w:r w:rsidR="00F774FD">
        <w:t xml:space="preserve">изложить в следующей редакции «Самостоятельно и за свой счет, без возмещения Арендодателем произведенных Арендатором затрат, производить </w:t>
      </w:r>
      <w:r>
        <w:t>текущий ремонт Объекта в течение</w:t>
      </w:r>
      <w:r w:rsidR="00F774FD">
        <w:t xml:space="preserve"> срока аренды. Капитальный ремонт Объекта производить по согласованию с Арендодателем.»;</w:t>
      </w:r>
    </w:p>
    <w:p w:rsidR="00F774FD" w:rsidRDefault="00F774FD" w:rsidP="00453793">
      <w:pPr>
        <w:pStyle w:val="a3"/>
        <w:spacing w:line="276" w:lineRule="auto"/>
      </w:pPr>
      <w:r>
        <w:t>- пункт</w:t>
      </w:r>
      <w:r w:rsidR="002F4EB4">
        <w:t>ы</w:t>
      </w:r>
      <w:r>
        <w:t xml:space="preserve"> 3.4.5</w:t>
      </w:r>
      <w:r w:rsidR="002F4EB4">
        <w:t>, 3.4.13</w:t>
      </w:r>
      <w:r w:rsidR="00BD32D6">
        <w:t xml:space="preserve"> </w:t>
      </w:r>
      <w:r>
        <w:t>исключить</w:t>
      </w:r>
      <w:r w:rsidR="002F4EB4">
        <w:t>;</w:t>
      </w:r>
    </w:p>
    <w:p w:rsidR="002F4EB4" w:rsidRDefault="002F4EB4" w:rsidP="00453793">
      <w:pPr>
        <w:pStyle w:val="a3"/>
        <w:spacing w:line="276" w:lineRule="auto"/>
      </w:pPr>
      <w:r>
        <w:t>- пункт 4.3 изложить в следующей редакции: «Арендная плата (без НДС) уплачивается не позднее 10 числа текущего месяца</w:t>
      </w:r>
      <w:r w:rsidR="0019108E">
        <w:t>,</w:t>
      </w:r>
      <w:r>
        <w:t xml:space="preserve"> перечислением денежных средств на реквизиты получателя: _______</w:t>
      </w:r>
      <w:r w:rsidR="00BD32D6">
        <w:t>________________________________</w:t>
      </w:r>
    </w:p>
    <w:p w:rsidR="002F4EB4" w:rsidRDefault="002F4EB4" w:rsidP="00453793">
      <w:pPr>
        <w:pStyle w:val="a3"/>
        <w:spacing w:line="276" w:lineRule="auto"/>
        <w:ind w:firstLine="0"/>
      </w:pPr>
      <w:r>
        <w:t>__________________________________________________________________________________________________________________________________________</w:t>
      </w:r>
    </w:p>
    <w:p w:rsidR="002F4EB4" w:rsidRDefault="0019108E" w:rsidP="00453793">
      <w:pPr>
        <w:pStyle w:val="a3"/>
        <w:spacing w:line="276" w:lineRule="auto"/>
        <w:ind w:firstLine="709"/>
      </w:pPr>
      <w:r>
        <w:t>Арендодателем в одностороннем порядке может быть изменен порядок перечисления арендной платы. В этом случае Арендодатель направляет письменное уведомление Арендатору. Арендатор обязан принять уведомление к исполнению в указанный в нем срок без подписания дополнительного соглашения.»;</w:t>
      </w:r>
    </w:p>
    <w:p w:rsidR="00FB53F5" w:rsidRDefault="00FB53F5" w:rsidP="00453793">
      <w:pPr>
        <w:pStyle w:val="a3"/>
        <w:spacing w:line="276" w:lineRule="auto"/>
        <w:ind w:firstLine="709"/>
      </w:pPr>
      <w:r>
        <w:t>- пункт 4.5 исключить;</w:t>
      </w:r>
    </w:p>
    <w:p w:rsidR="00FB53F5" w:rsidRDefault="00FB53F5" w:rsidP="00453793">
      <w:pPr>
        <w:pStyle w:val="a3"/>
        <w:spacing w:line="276" w:lineRule="auto"/>
        <w:ind w:firstLine="709"/>
      </w:pPr>
      <w:r>
        <w:t xml:space="preserve">- </w:t>
      </w:r>
      <w:r w:rsidR="00272433">
        <w:t>пункт 4.7 изложить в следующей редакции: «Если Арендатор, фактически используя объект своевременно не оформил настоящий или не пролонгировал Договор аренды, то сумма арендной платы за период пользования Объектом начисляется за период фактического использования.»</w:t>
      </w:r>
    </w:p>
    <w:p w:rsidR="00E43594" w:rsidRDefault="00453793" w:rsidP="00453793">
      <w:pPr>
        <w:pStyle w:val="a3"/>
        <w:spacing w:line="276" w:lineRule="auto"/>
        <w:ind w:firstLine="709"/>
      </w:pPr>
      <w:r>
        <w:t xml:space="preserve">В </w:t>
      </w:r>
      <w:r w:rsidR="00554684">
        <w:t>При</w:t>
      </w:r>
      <w:r>
        <w:t>ложении</w:t>
      </w:r>
      <w:r w:rsidR="00C72CB8">
        <w:t xml:space="preserve"> № 2 к Положению «Об аренде муниципального имущества, составляющего казну городского округа «Охинский»</w:t>
      </w:r>
      <w:r w:rsidR="00E43594">
        <w:t>:</w:t>
      </w:r>
      <w:r w:rsidR="00C72CB8">
        <w:t xml:space="preserve"> </w:t>
      </w:r>
    </w:p>
    <w:p w:rsidR="00C72CB8" w:rsidRDefault="00E43594" w:rsidP="00453793">
      <w:pPr>
        <w:pStyle w:val="a3"/>
        <w:spacing w:line="276" w:lineRule="auto"/>
        <w:ind w:firstLine="709"/>
      </w:pPr>
      <w:r>
        <w:t xml:space="preserve">- </w:t>
      </w:r>
      <w:r w:rsidR="00453793" w:rsidRPr="00453793">
        <w:t xml:space="preserve">пункт 4.3 </w:t>
      </w:r>
      <w:r w:rsidR="00C72CB8">
        <w:t>изложить в следующей редакции: «Арендная плата (без НДС) уплачивается не позднее 10 числа текущего месяца, перечислением денежных средств на реквизиты получателя: _______________________________________</w:t>
      </w:r>
    </w:p>
    <w:p w:rsidR="00772D55" w:rsidRDefault="00772D55" w:rsidP="00453793">
      <w:pPr>
        <w:pStyle w:val="a3"/>
        <w:spacing w:line="276" w:lineRule="auto"/>
        <w:ind w:firstLine="0"/>
      </w:pPr>
      <w:r>
        <w:t>__</w:t>
      </w:r>
      <w:r w:rsidR="00C72CB8">
        <w:t>__________________________________________________________________________________________________________</w:t>
      </w:r>
      <w:r>
        <w:t>______________________________</w:t>
      </w:r>
    </w:p>
    <w:p w:rsidR="00772D55" w:rsidRDefault="00C72CB8" w:rsidP="00453793">
      <w:pPr>
        <w:pStyle w:val="a3"/>
        <w:spacing w:line="276" w:lineRule="auto"/>
        <w:ind w:firstLine="709"/>
      </w:pPr>
      <w:r>
        <w:t>Арендодателем в одностороннем порядке может быть изменен порядок перечисления арендной платы. В этом случае Арендодатель направляет письменное уведомление Арендатору. Арендатор обязан принять уведомление к исполнению в указанный в нем срок без подписан</w:t>
      </w:r>
      <w:r w:rsidR="00C006DB">
        <w:t>ия дополнительного соглашения.».</w:t>
      </w:r>
    </w:p>
    <w:p w:rsidR="00BB2A36" w:rsidRDefault="00BB2A36" w:rsidP="00453793">
      <w:pPr>
        <w:pStyle w:val="a3"/>
        <w:spacing w:line="276" w:lineRule="auto"/>
        <w:ind w:firstLine="709"/>
      </w:pPr>
      <w:r>
        <w:lastRenderedPageBreak/>
        <w:t>2. Настоящее решение направить главе муниципального образования городской округ «Охинский»</w:t>
      </w:r>
      <w:r w:rsidR="0084137E">
        <w:t xml:space="preserve"> для подписания </w:t>
      </w:r>
      <w:r>
        <w:t>и последующего опубликования</w:t>
      </w:r>
      <w:r w:rsidR="0084137E" w:rsidRPr="0084137E">
        <w:t xml:space="preserve"> </w:t>
      </w:r>
      <w:r w:rsidR="0084137E">
        <w:t>в газете «</w:t>
      </w:r>
      <w:r w:rsidR="00642698">
        <w:t>С</w:t>
      </w:r>
      <w:r w:rsidR="0084137E">
        <w:t>ахалинский нефтяник»</w:t>
      </w:r>
      <w:r>
        <w:t>.</w:t>
      </w:r>
    </w:p>
    <w:p w:rsidR="00A8588C" w:rsidRPr="00A8588C" w:rsidRDefault="00BB2A36" w:rsidP="00453793">
      <w:pPr>
        <w:pStyle w:val="a3"/>
        <w:spacing w:line="276" w:lineRule="auto"/>
      </w:pPr>
      <w:r>
        <w:tab/>
        <w:t>3. Н</w:t>
      </w:r>
      <w:r w:rsidR="00A8588C" w:rsidRPr="00A8588C">
        <w:t xml:space="preserve">астоящее решение </w:t>
      </w:r>
      <w:r>
        <w:t>вступает в силу со дня принятия.</w:t>
      </w:r>
    </w:p>
    <w:p w:rsidR="00A8588C" w:rsidRPr="00BB2A36" w:rsidRDefault="00671652" w:rsidP="00453793">
      <w:pPr>
        <w:pStyle w:val="a3"/>
        <w:spacing w:line="276" w:lineRule="auto"/>
      </w:pPr>
      <w:r>
        <w:tab/>
        <w:t>4</w:t>
      </w:r>
      <w:r w:rsidR="00A8588C" w:rsidRPr="00A8588C">
        <w:t>.</w:t>
      </w:r>
      <w:r w:rsidR="0018565F">
        <w:t xml:space="preserve"> Настоящее решение</w:t>
      </w:r>
      <w:bookmarkStart w:id="0" w:name="_GoBack"/>
      <w:bookmarkEnd w:id="0"/>
      <w:r w:rsidR="00BB2A36">
        <w:t xml:space="preserve"> разместить на официальном сайте администрации муниципального образования городской округ «Охинский» </w:t>
      </w:r>
      <w:r w:rsidR="00BB2A36">
        <w:rPr>
          <w:lang w:val="en-US"/>
        </w:rPr>
        <w:t>www</w:t>
      </w:r>
      <w:r w:rsidR="00A8588C" w:rsidRPr="00A8588C">
        <w:t>.</w:t>
      </w:r>
      <w:proofErr w:type="spellStart"/>
      <w:r w:rsidR="00BB2A36">
        <w:rPr>
          <w:lang w:val="en-US"/>
        </w:rPr>
        <w:t>adm</w:t>
      </w:r>
      <w:proofErr w:type="spellEnd"/>
      <w:r w:rsidR="00BB2A36" w:rsidRPr="00BB2A36">
        <w:t>-</w:t>
      </w:r>
      <w:proofErr w:type="spellStart"/>
      <w:r w:rsidR="00BB2A36">
        <w:rPr>
          <w:lang w:val="en-US"/>
        </w:rPr>
        <w:t>okha</w:t>
      </w:r>
      <w:proofErr w:type="spellEnd"/>
      <w:r w:rsidR="00BB2A36" w:rsidRPr="00BB2A36">
        <w:t>.</w:t>
      </w:r>
      <w:proofErr w:type="spellStart"/>
      <w:r w:rsidR="00BB2A36">
        <w:rPr>
          <w:lang w:val="en-US"/>
        </w:rPr>
        <w:t>ru</w:t>
      </w:r>
      <w:proofErr w:type="spellEnd"/>
      <w:r w:rsidR="00BB2A36" w:rsidRPr="00BB2A36">
        <w:t>.</w:t>
      </w:r>
    </w:p>
    <w:p w:rsidR="00A8588C" w:rsidRDefault="00BB2A36" w:rsidP="00453793">
      <w:pPr>
        <w:pStyle w:val="a3"/>
        <w:spacing w:line="276" w:lineRule="auto"/>
      </w:pPr>
      <w:r>
        <w:tab/>
        <w:t>5</w:t>
      </w:r>
      <w:r w:rsidR="00A8588C" w:rsidRPr="00A8588C">
        <w:t>. Контроль за исполнением настоящего решения возложить на Председателя Собрания муниципального образования</w:t>
      </w:r>
      <w:r w:rsidR="00671652">
        <w:t xml:space="preserve"> городской округ «Охинский»</w:t>
      </w:r>
      <w:r w:rsidR="00A8588C" w:rsidRPr="00A8588C">
        <w:t xml:space="preserve"> </w:t>
      </w:r>
      <w:proofErr w:type="spellStart"/>
      <w:r w:rsidR="00A8588C" w:rsidRPr="00A8588C">
        <w:t>Силенгинского</w:t>
      </w:r>
      <w:proofErr w:type="spellEnd"/>
      <w:r w:rsidR="00671652">
        <w:t xml:space="preserve"> А.Г</w:t>
      </w:r>
      <w:r w:rsidR="00A8588C" w:rsidRPr="00A8588C">
        <w:t>.</w:t>
      </w:r>
    </w:p>
    <w:p w:rsidR="0082171A" w:rsidRDefault="0082171A" w:rsidP="00060019">
      <w:pPr>
        <w:pStyle w:val="a3"/>
        <w:spacing w:line="276" w:lineRule="auto"/>
      </w:pPr>
    </w:p>
    <w:p w:rsidR="003D271B" w:rsidRPr="00322904" w:rsidRDefault="003D271B" w:rsidP="00060019">
      <w:pPr>
        <w:pStyle w:val="a3"/>
        <w:spacing w:line="276" w:lineRule="auto"/>
      </w:pPr>
    </w:p>
    <w:tbl>
      <w:tblPr>
        <w:tblW w:w="9459" w:type="dxa"/>
        <w:tblInd w:w="288" w:type="dxa"/>
        <w:tblLook w:val="01E0" w:firstRow="1" w:lastRow="1" w:firstColumn="1" w:lastColumn="1" w:noHBand="0" w:noVBand="0"/>
      </w:tblPr>
      <w:tblGrid>
        <w:gridCol w:w="4073"/>
        <w:gridCol w:w="1559"/>
        <w:gridCol w:w="3827"/>
      </w:tblGrid>
      <w:tr w:rsidR="00A8588C" w:rsidRPr="00A8588C" w:rsidTr="00E80D54">
        <w:tc>
          <w:tcPr>
            <w:tcW w:w="4073" w:type="dxa"/>
            <w:tcBorders>
              <w:bottom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</w:rPr>
            </w:pPr>
            <w:r w:rsidRPr="00A8588C">
              <w:rPr>
                <w:b/>
                <w:color w:val="auto"/>
                <w:szCs w:val="28"/>
              </w:rPr>
              <w:t>Председатель Собрания муниципального образования городской округ «Охинский»</w:t>
            </w:r>
          </w:p>
          <w:p w:rsidR="00A8588C" w:rsidRPr="00A8588C" w:rsidRDefault="00A8588C" w:rsidP="00A8588C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</w:rPr>
            </w:pPr>
          </w:p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559" w:type="dxa"/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</w:rPr>
            </w:pPr>
            <w:r w:rsidRPr="00A8588C">
              <w:rPr>
                <w:b/>
                <w:color w:val="auto"/>
                <w:szCs w:val="28"/>
              </w:rPr>
              <w:t>Глава муниципального образования городской округ «Охинский»</w:t>
            </w:r>
          </w:p>
        </w:tc>
      </w:tr>
      <w:tr w:rsidR="00A8588C" w:rsidRPr="00A8588C" w:rsidTr="00E80D54">
        <w:tc>
          <w:tcPr>
            <w:tcW w:w="4073" w:type="dxa"/>
            <w:tcBorders>
              <w:top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A8588C">
              <w:rPr>
                <w:b/>
                <w:color w:val="auto"/>
                <w:szCs w:val="28"/>
              </w:rPr>
              <w:t xml:space="preserve">А.Г. </w:t>
            </w:r>
            <w:proofErr w:type="spellStart"/>
            <w:r w:rsidRPr="00A8588C">
              <w:rPr>
                <w:b/>
                <w:color w:val="auto"/>
                <w:szCs w:val="28"/>
              </w:rPr>
              <w:t>Силенгинский</w:t>
            </w:r>
            <w:proofErr w:type="spellEnd"/>
          </w:p>
        </w:tc>
        <w:tc>
          <w:tcPr>
            <w:tcW w:w="1559" w:type="dxa"/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  <w:p w:rsidR="00A8588C" w:rsidRPr="00A8588C" w:rsidRDefault="00F82628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Е.Н. Касьянова</w:t>
            </w:r>
          </w:p>
        </w:tc>
      </w:tr>
    </w:tbl>
    <w:p w:rsidR="00F82628" w:rsidRDefault="00F82628" w:rsidP="00A8588C">
      <w:pPr>
        <w:pStyle w:val="1"/>
        <w:numPr>
          <w:ilvl w:val="0"/>
          <w:numId w:val="0"/>
        </w:numPr>
        <w:spacing w:after="248"/>
        <w:ind w:left="425" w:right="72"/>
        <w:sectPr w:rsidR="00F82628" w:rsidSect="00C86218">
          <w:type w:val="continuous"/>
          <w:pgSz w:w="11780" w:h="16780"/>
          <w:pgMar w:top="1191" w:right="697" w:bottom="1191" w:left="1389" w:header="720" w:footer="720" w:gutter="0"/>
          <w:cols w:space="720"/>
        </w:sectPr>
      </w:pPr>
    </w:p>
    <w:p w:rsidR="003D271B" w:rsidRDefault="003D271B" w:rsidP="003D271B">
      <w:pPr>
        <w:pStyle w:val="a3"/>
        <w:jc w:val="right"/>
      </w:pPr>
    </w:p>
    <w:sectPr w:rsidR="003D271B" w:rsidSect="00F82628">
      <w:pgSz w:w="11780" w:h="16780"/>
      <w:pgMar w:top="1152" w:right="698" w:bottom="1189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7BBA"/>
    <w:multiLevelType w:val="hybridMultilevel"/>
    <w:tmpl w:val="C76CF316"/>
    <w:lvl w:ilvl="0" w:tplc="42B23A9E">
      <w:start w:val="1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84CF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C0DE7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E11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C0AA1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78571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86A99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AA117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C657B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17502"/>
    <w:multiLevelType w:val="hybridMultilevel"/>
    <w:tmpl w:val="1984541A"/>
    <w:lvl w:ilvl="0" w:tplc="ECCABCD4">
      <w:start w:val="2"/>
      <w:numFmt w:val="decimal"/>
      <w:lvlText w:val="%1.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365460">
      <w:start w:val="1"/>
      <w:numFmt w:val="lowerLetter"/>
      <w:lvlText w:val="%2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5AC338">
      <w:start w:val="1"/>
      <w:numFmt w:val="lowerRoman"/>
      <w:lvlText w:val="%3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2ECA8">
      <w:start w:val="1"/>
      <w:numFmt w:val="decimal"/>
      <w:lvlText w:val="%4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CAA55E">
      <w:start w:val="1"/>
      <w:numFmt w:val="lowerLetter"/>
      <w:lvlText w:val="%5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46BA12">
      <w:start w:val="1"/>
      <w:numFmt w:val="lowerRoman"/>
      <w:lvlText w:val="%6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B6F328">
      <w:start w:val="1"/>
      <w:numFmt w:val="decimal"/>
      <w:lvlText w:val="%7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4CBCC">
      <w:start w:val="1"/>
      <w:numFmt w:val="lowerLetter"/>
      <w:lvlText w:val="%8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607EE8">
      <w:start w:val="1"/>
      <w:numFmt w:val="lowerRoman"/>
      <w:lvlText w:val="%9"/>
      <w:lvlJc w:val="left"/>
      <w:pPr>
        <w:ind w:left="7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C146A"/>
    <w:multiLevelType w:val="hybridMultilevel"/>
    <w:tmpl w:val="BB82F7C0"/>
    <w:lvl w:ilvl="0" w:tplc="232CCB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2742E26">
      <w:start w:val="1"/>
      <w:numFmt w:val="lowerLetter"/>
      <w:lvlText w:val="%2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442A59E">
      <w:start w:val="1"/>
      <w:numFmt w:val="lowerRoman"/>
      <w:lvlText w:val="%3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CA6F500">
      <w:start w:val="1"/>
      <w:numFmt w:val="decimal"/>
      <w:lvlText w:val="%4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CD2A3B4">
      <w:start w:val="1"/>
      <w:numFmt w:val="lowerLetter"/>
      <w:lvlText w:val="%5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38CF93E">
      <w:start w:val="1"/>
      <w:numFmt w:val="lowerRoman"/>
      <w:lvlText w:val="%6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13472C2">
      <w:start w:val="1"/>
      <w:numFmt w:val="decimal"/>
      <w:lvlText w:val="%7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9DA0C52">
      <w:start w:val="1"/>
      <w:numFmt w:val="lowerLetter"/>
      <w:lvlText w:val="%8"/>
      <w:lvlJc w:val="left"/>
      <w:pPr>
        <w:ind w:left="8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8C94F4">
      <w:start w:val="1"/>
      <w:numFmt w:val="lowerRoman"/>
      <w:lvlText w:val="%9"/>
      <w:lvlJc w:val="left"/>
      <w:pPr>
        <w:ind w:left="9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A"/>
    <w:rsid w:val="00001BE6"/>
    <w:rsid w:val="00011982"/>
    <w:rsid w:val="00042C05"/>
    <w:rsid w:val="00052144"/>
    <w:rsid w:val="00060019"/>
    <w:rsid w:val="00072F98"/>
    <w:rsid w:val="00082000"/>
    <w:rsid w:val="000B1D8C"/>
    <w:rsid w:val="000C6CEE"/>
    <w:rsid w:val="000C7075"/>
    <w:rsid w:val="000E192F"/>
    <w:rsid w:val="000F632A"/>
    <w:rsid w:val="00136D7A"/>
    <w:rsid w:val="001602BE"/>
    <w:rsid w:val="00184C30"/>
    <w:rsid w:val="0018565F"/>
    <w:rsid w:val="00190FF2"/>
    <w:rsid w:val="0019108E"/>
    <w:rsid w:val="001A3EDB"/>
    <w:rsid w:val="00221448"/>
    <w:rsid w:val="002219FC"/>
    <w:rsid w:val="00272433"/>
    <w:rsid w:val="002E5872"/>
    <w:rsid w:val="002F4EB4"/>
    <w:rsid w:val="00322904"/>
    <w:rsid w:val="00367EA9"/>
    <w:rsid w:val="003A1AAF"/>
    <w:rsid w:val="003B3EE1"/>
    <w:rsid w:val="003D271B"/>
    <w:rsid w:val="00433784"/>
    <w:rsid w:val="00453793"/>
    <w:rsid w:val="00454B86"/>
    <w:rsid w:val="00483EE6"/>
    <w:rsid w:val="00487864"/>
    <w:rsid w:val="004C0864"/>
    <w:rsid w:val="004C7D5D"/>
    <w:rsid w:val="004D6AE1"/>
    <w:rsid w:val="00531461"/>
    <w:rsid w:val="00537986"/>
    <w:rsid w:val="005451E1"/>
    <w:rsid w:val="0055325B"/>
    <w:rsid w:val="00554684"/>
    <w:rsid w:val="00590885"/>
    <w:rsid w:val="00600F61"/>
    <w:rsid w:val="006157B8"/>
    <w:rsid w:val="006358DD"/>
    <w:rsid w:val="00642698"/>
    <w:rsid w:val="00670A7D"/>
    <w:rsid w:val="00671652"/>
    <w:rsid w:val="00673308"/>
    <w:rsid w:val="00675418"/>
    <w:rsid w:val="006856CC"/>
    <w:rsid w:val="006C042C"/>
    <w:rsid w:val="00742A33"/>
    <w:rsid w:val="00772D55"/>
    <w:rsid w:val="007F4042"/>
    <w:rsid w:val="007F4207"/>
    <w:rsid w:val="008178B7"/>
    <w:rsid w:val="0082171A"/>
    <w:rsid w:val="0084001A"/>
    <w:rsid w:val="0084137E"/>
    <w:rsid w:val="00863A1B"/>
    <w:rsid w:val="0087087D"/>
    <w:rsid w:val="00883F50"/>
    <w:rsid w:val="008973C0"/>
    <w:rsid w:val="008B3AA4"/>
    <w:rsid w:val="008F68BE"/>
    <w:rsid w:val="00962A24"/>
    <w:rsid w:val="00A26A99"/>
    <w:rsid w:val="00A77EED"/>
    <w:rsid w:val="00A8588C"/>
    <w:rsid w:val="00AC6718"/>
    <w:rsid w:val="00B3337E"/>
    <w:rsid w:val="00B34EE2"/>
    <w:rsid w:val="00BA5768"/>
    <w:rsid w:val="00BB2A36"/>
    <w:rsid w:val="00BD32D6"/>
    <w:rsid w:val="00C006DB"/>
    <w:rsid w:val="00C33405"/>
    <w:rsid w:val="00C6628B"/>
    <w:rsid w:val="00C72CB8"/>
    <w:rsid w:val="00C75425"/>
    <w:rsid w:val="00C86218"/>
    <w:rsid w:val="00C9079C"/>
    <w:rsid w:val="00C94340"/>
    <w:rsid w:val="00CA14CA"/>
    <w:rsid w:val="00CE3582"/>
    <w:rsid w:val="00D134BC"/>
    <w:rsid w:val="00D34655"/>
    <w:rsid w:val="00D56000"/>
    <w:rsid w:val="00D86FD8"/>
    <w:rsid w:val="00D96276"/>
    <w:rsid w:val="00DB0384"/>
    <w:rsid w:val="00E05FB3"/>
    <w:rsid w:val="00E14EAC"/>
    <w:rsid w:val="00E43594"/>
    <w:rsid w:val="00E65085"/>
    <w:rsid w:val="00E769E8"/>
    <w:rsid w:val="00E8065A"/>
    <w:rsid w:val="00EC6F76"/>
    <w:rsid w:val="00EE3EDA"/>
    <w:rsid w:val="00EF01DD"/>
    <w:rsid w:val="00EF0C76"/>
    <w:rsid w:val="00F01CF1"/>
    <w:rsid w:val="00F301CB"/>
    <w:rsid w:val="00F73B02"/>
    <w:rsid w:val="00F774FD"/>
    <w:rsid w:val="00F82628"/>
    <w:rsid w:val="00F90FB1"/>
    <w:rsid w:val="00FB1F28"/>
    <w:rsid w:val="00FB53F5"/>
    <w:rsid w:val="00FC4B4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ACD"/>
  <w15:docId w15:val="{B8794334-E09A-4885-9E6D-8F5204E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37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2628"/>
    <w:pPr>
      <w:spacing w:after="0" w:line="240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8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A903-C259-4735-83A8-C16BB368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cp:lastModifiedBy>Петрова Наталья Александровна</cp:lastModifiedBy>
  <cp:revision>134</cp:revision>
  <cp:lastPrinted>2021-09-16T06:53:00Z</cp:lastPrinted>
  <dcterms:created xsi:type="dcterms:W3CDTF">2021-06-15T04:24:00Z</dcterms:created>
  <dcterms:modified xsi:type="dcterms:W3CDTF">2021-09-16T06:55:00Z</dcterms:modified>
</cp:coreProperties>
</file>