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5250D6" w:rsidRDefault="00D33B87" w:rsidP="00D557E0">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w:t>
      </w:r>
      <w:r w:rsidR="007B5536"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ЕТОДИЧЕСКИЕ РЕКОМЕНДАЦИИ</w:t>
      </w:r>
    </w:p>
    <w:p w14:paraId="4ED86BFC" w14:textId="77777777" w:rsidR="006242B5" w:rsidRPr="005250D6" w:rsidRDefault="007B5536" w:rsidP="00D557E0">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 ВОПРОСАМ ПРЕДСТАВЛЕНИЯ СВЕДЕНИЙ</w:t>
      </w:r>
    </w:p>
    <w:p w14:paraId="5FB38F31" w14:textId="77777777" w:rsidR="006242B5" w:rsidRPr="005250D6" w:rsidRDefault="007B5536" w:rsidP="007B5536">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 ДОХОДАХ, РАСХОДАХ, ОБ ИМУЩЕСТВЕ И ОБЯЗАТЕЛЬСТВАХ ИМУЩЕСТВЕННОГО ХАРАКТЕРА </w:t>
      </w:r>
    </w:p>
    <w:p w14:paraId="0689332E" w14:textId="77777777" w:rsidR="000A3A5F" w:rsidRPr="005250D6" w:rsidRDefault="007B5536" w:rsidP="007B5536">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И ЗАПОЛНЕНИЯ СООТВЕТСТВУЮЩЕЙ ФОРМЫ СПРАВКИ </w:t>
      </w:r>
    </w:p>
    <w:p w14:paraId="587D2029" w14:textId="6B4C32A0" w:rsidR="00B428FD" w:rsidRPr="005250D6" w:rsidRDefault="00B428FD" w:rsidP="007B5536">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 </w:t>
      </w:r>
      <w:r w:rsidR="00446E51"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2022</w:t>
      </w:r>
      <w:r w:rsidR="00C96FEE"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80A5D"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году (за отчетный </w:t>
      </w:r>
      <w:r w:rsidR="00446E51"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2021</w:t>
      </w:r>
      <w:r w:rsidR="00C96FEE"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80A5D"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год)</w:t>
      </w:r>
    </w:p>
    <w:p w14:paraId="5347A46D" w14:textId="77777777" w:rsidR="00FE26A5" w:rsidRPr="005250D6" w:rsidRDefault="00FE26A5" w:rsidP="007B5536">
      <w:pPr>
        <w:ind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5250D6" w:rsidRDefault="00981DEE" w:rsidP="007112B7">
      <w:pPr>
        <w:autoSpaceDE w:val="0"/>
        <w:autoSpaceDN w:val="0"/>
        <w:adjustRightInd w:val="0"/>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9FB8B92" w14:textId="77777777" w:rsidR="00835701" w:rsidRPr="005250D6" w:rsidRDefault="00980A5D" w:rsidP="00312B97">
      <w:pPr>
        <w:pStyle w:val="aa"/>
        <w:numPr>
          <w:ilvl w:val="0"/>
          <w:numId w:val="9"/>
        </w:numPr>
        <w:tabs>
          <w:tab w:val="left" w:pos="426"/>
        </w:tabs>
        <w:ind w:left="0" w:firstLine="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Представление сведений о доходах, расходах,</w:t>
      </w:r>
    </w:p>
    <w:p w14:paraId="02262DAB" w14:textId="77777777" w:rsidR="00A84DA2" w:rsidRPr="005250D6" w:rsidRDefault="00980A5D" w:rsidP="00312B97">
      <w:pPr>
        <w:pStyle w:val="aa"/>
        <w:ind w:left="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5250D6" w:rsidRDefault="00980A5D" w:rsidP="002E3630">
      <w:pPr>
        <w:tabs>
          <w:tab w:val="left" w:pos="567"/>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5250D6" w:rsidRDefault="00980A5D" w:rsidP="002E3630">
      <w:pPr>
        <w:tabs>
          <w:tab w:val="left" w:pos="567"/>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5250D6" w:rsidRDefault="00980A5D" w:rsidP="002E3630">
      <w:pPr>
        <w:tabs>
          <w:tab w:val="left" w:pos="567"/>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5250D6" w:rsidRDefault="00980A5D" w:rsidP="002E3630">
      <w:pPr>
        <w:tabs>
          <w:tab w:val="left" w:pos="567"/>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D6">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Отчетный период и отчетная дата представления сведений, </w:t>
      </w:r>
      <w:r w:rsidRPr="0012059F">
        <w:rPr>
          <w:rFonts w:ascii="Times New Roman" w:hAnsi="Times New Roman"/>
          <w:sz w:val="28"/>
          <w:szCs w:val="28"/>
        </w:rPr>
        <w:t>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587B35" w:rsidRDefault="003D42E4" w:rsidP="003D42E4">
      <w:pPr>
        <w:tabs>
          <w:tab w:val="left" w:pos="567"/>
          <w:tab w:val="left" w:pos="1276"/>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14:paraId="05872847" w14:textId="77777777" w:rsidR="00D54078" w:rsidRPr="00587B35" w:rsidRDefault="00980A5D" w:rsidP="002E3630">
      <w:pPr>
        <w:tabs>
          <w:tab w:val="left" w:pos="567"/>
        </w:tabs>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587B35" w:rsidRDefault="00980A5D" w:rsidP="002E3630">
      <w:pPr>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587B35" w:rsidRDefault="003E1E1D" w:rsidP="002E3630">
      <w:pPr>
        <w:pStyle w:val="aa"/>
        <w:autoSpaceDE w:val="0"/>
        <w:autoSpaceDN w:val="0"/>
        <w:adjustRightInd w:val="0"/>
        <w:ind w:left="0"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587B35" w:rsidRDefault="00980A5D" w:rsidP="002E3630">
      <w:pPr>
        <w:ind w:firstLine="567"/>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587B35" w:rsidRDefault="00980A5D" w:rsidP="009D662F">
      <w:pPr>
        <w:autoSpaceDE w:val="0"/>
        <w:autoSpaceDN w:val="0"/>
        <w:adjustRightInd w:val="0"/>
        <w:ind w:firstLine="851"/>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7B35">
        <w:rPr>
          <w:rFonts w:ascii="Times New Roman" w:hAnsi="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II</w:t>
      </w:r>
      <w:r w:rsidRPr="00587B35">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587B35" w:rsidRDefault="00980A5D" w:rsidP="00FB1C37">
      <w:pPr>
        <w:pStyle w:val="aa"/>
        <w:tabs>
          <w:tab w:val="left" w:pos="851"/>
        </w:tabs>
        <w:ind w:left="0" w:firstLine="0"/>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587B35" w:rsidRDefault="00096ED3" w:rsidP="00FB1C37">
      <w:pPr>
        <w:ind w:firstLine="0"/>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A900CA" w:rsidRDefault="00AA4287" w:rsidP="002E3630">
      <w:pPr>
        <w:pStyle w:val="aa"/>
        <w:tabs>
          <w:tab w:val="left" w:pos="1134"/>
        </w:tabs>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A900CA" w:rsidRDefault="00096ED3"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Особенности заполнения данного раздела отдельны</w:t>
      </w:r>
      <w:r w:rsidR="00A32E06"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ми</w:t>
      </w:r>
      <w:r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категори</w:t>
      </w:r>
      <w:r w:rsidR="00A32E06"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ями</w:t>
      </w:r>
      <w:r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835D01"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587B35" w:rsidRDefault="005B6184" w:rsidP="002E3630">
      <w:pPr>
        <w:pStyle w:val="aa"/>
        <w:tabs>
          <w:tab w:val="left" w:pos="1276"/>
        </w:tabs>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587B35" w:rsidRDefault="00096ED3"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587B35" w:rsidRDefault="00096ED3" w:rsidP="002E3630">
      <w:pPr>
        <w:pStyle w:val="aa"/>
        <w:tabs>
          <w:tab w:val="left" w:pos="1276"/>
        </w:tabs>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w:t>
      </w:r>
      <w:r w:rsidR="003A4104" w:rsidRPr="0012059F">
        <w:rPr>
          <w:rFonts w:ascii="Times New Roman" w:hAnsi="Times New Roman"/>
          <w:sz w:val="28"/>
          <w:szCs w:val="28"/>
        </w:rPr>
        <w:lastRenderedPageBreak/>
        <w:t>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003A1C66" w:rsidRPr="0012059F">
        <w:rPr>
          <w:rFonts w:ascii="Times New Roman" w:hAnsi="Times New Roman" w:cs="Times New Roman"/>
          <w:sz w:val="28"/>
          <w:szCs w:val="28"/>
        </w:rPr>
        <w:lastRenderedPageBreak/>
        <w:t>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12059F">
        <w:rPr>
          <w:sz w:val="28"/>
          <w:szCs w:val="28"/>
        </w:rPr>
        <w:lastRenderedPageBreak/>
        <w:t>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w:t>
      </w:r>
      <w:r w:rsidR="008E1775" w:rsidRPr="0012059F">
        <w:rPr>
          <w:rStyle w:val="a8"/>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w:t>
      </w:r>
      <w:r w:rsidRPr="0012059F">
        <w:rPr>
          <w:rFonts w:ascii="Times New Roman" w:eastAsia="Times New Roman" w:hAnsi="Times New Roman"/>
          <w:sz w:val="28"/>
          <w:szCs w:val="28"/>
          <w:lang w:eastAsia="ru-RU"/>
        </w:rPr>
        <w:lastRenderedPageBreak/>
        <w:t xml:space="preserve">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587B35" w:rsidRDefault="00096ED3" w:rsidP="00FE26A5">
      <w:pPr>
        <w:tabs>
          <w:tab w:val="left" w:pos="709"/>
        </w:tabs>
        <w:autoSpaceDE w:val="0"/>
        <w:autoSpaceDN w:val="0"/>
        <w:adjustRightInd w:val="0"/>
        <w:ind w:firstLine="567"/>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A900CA">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заполняется только </w:t>
      </w:r>
      <w:r w:rsidRPr="0012059F">
        <w:rPr>
          <w:rFonts w:ascii="Times New Roman" w:hAnsi="Times New Roman"/>
          <w:sz w:val="28"/>
          <w:szCs w:val="28"/>
        </w:rPr>
        <w:t xml:space="preserve">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w:t>
      </w:r>
      <w:r w:rsidR="001F43C6" w:rsidRPr="0012059F">
        <w:rPr>
          <w:rFonts w:ascii="Times New Roman" w:hAnsi="Times New Roman"/>
          <w:sz w:val="28"/>
          <w:szCs w:val="28"/>
        </w:rPr>
        <w:lastRenderedPageBreak/>
        <w:t>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lastRenderedPageBreak/>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Вид приобретенного имущества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заполнении графы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Источник получения средств, за счет которых приобретено имущество</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Основания приобретения имущества</w:t>
      </w:r>
      <w:r w:rsidR="00477400"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587B35" w:rsidRDefault="00A668E1" w:rsidP="002E3630">
      <w:pPr>
        <w:pStyle w:val="ConsPlusNormal"/>
        <w:numPr>
          <w:ilvl w:val="0"/>
          <w:numId w:val="1"/>
        </w:numPr>
        <w:ind w:left="0" w:firstLine="567"/>
        <w:jc w:val="both"/>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w:t>
      </w:r>
      <w:r w:rsidR="00096ED3"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собенности заполнения раздела </w:t>
      </w:r>
      <w:r w:rsidR="00477400"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Сведения о расходах</w:t>
      </w:r>
      <w:r w:rsidR="00477400"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14:paraId="46BF0DE9" w14:textId="77777777" w:rsidR="00C67D7B" w:rsidRPr="0012059F" w:rsidRDefault="00767EB3" w:rsidP="002E3630">
      <w:pPr>
        <w:ind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1) </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w:t>
      </w:r>
      <w:r w:rsidRPr="0012059F">
        <w:rPr>
          <w:rFonts w:ascii="Times New Roman" w:hAnsi="Times New Roman"/>
          <w:sz w:val="28"/>
          <w:szCs w:val="28"/>
        </w:rPr>
        <w:lastRenderedPageBreak/>
        <w:t xml:space="preserve">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приобретение недвижимого имущества посредством участия в кооперативе.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приобретение цифровых финансовых активов и цифровых валют. </w:t>
      </w:r>
      <w:r w:rsidRPr="0012059F">
        <w:rPr>
          <w:rFonts w:ascii="Times New Roman" w:hAnsi="Times New Roman"/>
          <w:sz w:val="28"/>
          <w:szCs w:val="28"/>
        </w:rPr>
        <w:t>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578B4DF2" w14:textId="77777777" w:rsidR="00AD7CB8" w:rsidRDefault="00AD7CB8" w:rsidP="007612A3">
      <w:pPr>
        <w:autoSpaceDE w:val="0"/>
        <w:autoSpaceDN w:val="0"/>
        <w:adjustRightInd w:val="0"/>
        <w:ind w:firstLine="0"/>
        <w:jc w:val="center"/>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163A1CAD" w14:textId="77777777" w:rsidR="00AD7CB8" w:rsidRDefault="00AD7CB8" w:rsidP="007612A3">
      <w:pPr>
        <w:autoSpaceDE w:val="0"/>
        <w:autoSpaceDN w:val="0"/>
        <w:adjustRightInd w:val="0"/>
        <w:ind w:firstLine="0"/>
        <w:jc w:val="center"/>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4E6AD191" w14:textId="77777777" w:rsidR="00AD7CB8" w:rsidRDefault="00AD7CB8" w:rsidP="007612A3">
      <w:pPr>
        <w:autoSpaceDE w:val="0"/>
        <w:autoSpaceDN w:val="0"/>
        <w:adjustRightInd w:val="0"/>
        <w:ind w:firstLine="0"/>
        <w:jc w:val="center"/>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92C4193" w14:textId="77777777" w:rsidR="00A672C0" w:rsidRPr="00587B35" w:rsidRDefault="00096ED3" w:rsidP="007612A3">
      <w:pPr>
        <w:autoSpaceDE w:val="0"/>
        <w:autoSpaceDN w:val="0"/>
        <w:adjustRightInd w:val="0"/>
        <w:ind w:firstLine="0"/>
        <w:jc w:val="center"/>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РАЗДЕЛ 3. СВЕДЕНИЯ ОБ ИМУЩЕСТВЕ</w:t>
      </w:r>
    </w:p>
    <w:p w14:paraId="71DC7D90" w14:textId="77777777" w:rsidR="00A668E1" w:rsidRPr="00587B35" w:rsidRDefault="00A668E1" w:rsidP="009D662F">
      <w:pPr>
        <w:autoSpaceDE w:val="0"/>
        <w:autoSpaceDN w:val="0"/>
        <w:adjustRightInd w:val="0"/>
        <w:ind w:firstLine="851"/>
        <w:jc w:val="center"/>
        <w:rPr>
          <w:rFonts w:ascii="Times New Roman" w:eastAsia="Times New Roman" w:hAnsi="Times New Roman"/>
          <w:b/>
          <w:sz w:val="24"/>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2CA035C" w14:textId="77777777" w:rsidR="00A668E1" w:rsidRPr="00587B35" w:rsidRDefault="00A668E1" w:rsidP="00A668E1">
      <w:pPr>
        <w:autoSpaceDE w:val="0"/>
        <w:autoSpaceDN w:val="0"/>
        <w:adjustRightInd w:val="0"/>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eastAsia="Times New Roman" w:hAnsi="Times New Roman"/>
          <w:b/>
          <w:sz w:val="28"/>
          <w:szCs w:val="2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lastRenderedPageBreak/>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587B35" w:rsidRDefault="00E9328D"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2059F">
        <w:rPr>
          <w:rFonts w:ascii="Times New Roman" w:hAnsi="Times New Roman"/>
          <w:sz w:val="28"/>
          <w:szCs w:val="28"/>
        </w:rPr>
        <w:t xml:space="preserve">Заполнение графы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Вид и наименование имущества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земельных участках </w:t>
      </w:r>
      <w:r w:rsidR="00096ED3" w:rsidRPr="0012059F">
        <w:rPr>
          <w:rFonts w:ascii="Times New Roman" w:hAnsi="Times New Roman"/>
          <w:sz w:val="28"/>
          <w:szCs w:val="28"/>
        </w:rPr>
        <w:t>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lastRenderedPageBreak/>
        <w:t xml:space="preserve">При наличии в собственности </w:t>
      </w:r>
      <w:r w:rsidRPr="00587B35">
        <w:rPr>
          <w:rStyle w:val="a8"/>
          <w:rFonts w:ascii="Times New Roman" w:hAnsi="Times New Roman" w:cs="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жилого или садового дома, </w:t>
      </w:r>
      <w:r w:rsidRPr="0012059F">
        <w:rPr>
          <w:rStyle w:val="a8"/>
          <w:rFonts w:ascii="Times New Roman" w:hAnsi="Times New Roman" w:cs="Times New Roman"/>
          <w:color w:val="000000"/>
          <w:sz w:val="28"/>
          <w:szCs w:val="28"/>
        </w:rPr>
        <w:t xml:space="preserve">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587B35">
        <w:rPr>
          <w:rStyle w:val="a8"/>
          <w:rFonts w:ascii="Times New Roman" w:hAnsi="Times New Roman" w:cs="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Style w:val="a8"/>
          <w:rFonts w:ascii="Times New Roman" w:hAnsi="Times New Roman" w:cs="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Гаражи</w:t>
      </w:r>
      <w:r w:rsidR="00477400" w:rsidRPr="00587B35">
        <w:rPr>
          <w:rStyle w:val="a8"/>
          <w:rFonts w:ascii="Times New Roman" w:hAnsi="Times New Roman" w:cs="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Style w:val="a8"/>
          <w:rFonts w:ascii="Times New Roman" w:hAnsi="Times New Roman" w:cs="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Style w:val="a8"/>
          <w:rFonts w:ascii="Times New Roman" w:hAnsi="Times New Roman" w:cs="Times New Roman"/>
          <w:color w:val="000000"/>
          <w:sz w:val="28"/>
          <w:szCs w:val="28"/>
        </w:rPr>
        <w:t xml:space="preserve">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Вид собственности</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 xml:space="preserve">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Местонахождение (адрес) </w:t>
      </w:r>
      <w:r w:rsidRPr="0012059F">
        <w:rPr>
          <w:rFonts w:ascii="Times New Roman" w:hAnsi="Times New Roman"/>
          <w:sz w:val="28"/>
          <w:szCs w:val="28"/>
        </w:rPr>
        <w:t xml:space="preserve">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 xml:space="preserve">сли недвижимое имущество принадлежит </w:t>
      </w:r>
      <w:r w:rsidR="00980A5D" w:rsidRPr="0012059F">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587B35" w:rsidRDefault="00096ED3"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w:t>
      </w:r>
      <w:r w:rsidR="00866005" w:rsidRPr="0012059F">
        <w:rPr>
          <w:rFonts w:ascii="Times New Roman" w:hAnsi="Times New Roman"/>
          <w:sz w:val="28"/>
          <w:szCs w:val="28"/>
        </w:rPr>
        <w:lastRenderedPageBreak/>
        <w:t>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w:t>
      </w:r>
      <w:r w:rsidRPr="0012059F">
        <w:rPr>
          <w:rFonts w:ascii="Times New Roman" w:hAnsi="Times New Roman"/>
          <w:sz w:val="28"/>
          <w:szCs w:val="28"/>
        </w:rPr>
        <w:lastRenderedPageBreak/>
        <w:t xml:space="preserve">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587B35" w:rsidRDefault="00096ED3"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w:t>
      </w:r>
      <w:r w:rsidR="009730D5" w:rsidRPr="0012059F">
        <w:rPr>
          <w:rFonts w:ascii="Times New Roman" w:hAnsi="Times New Roman"/>
          <w:sz w:val="28"/>
          <w:szCs w:val="28"/>
        </w:rPr>
        <w:lastRenderedPageBreak/>
        <w:t xml:space="preserve">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587B35">
        <w:rPr>
          <w:rFonts w:ascii="Times New Roman" w:hAnsi="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1F3E28" w:rsidRPr="00587B35">
        <w:rPr>
          <w:rFonts w:ascii="Times New Roman" w:hAnsi="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Место регистрации</w:t>
      </w:r>
      <w:r w:rsidR="00477400" w:rsidRPr="00587B35">
        <w:rPr>
          <w:rFonts w:ascii="Times New Roman" w:hAnsi="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color w:val="0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587B35" w:rsidRDefault="00522E3A" w:rsidP="00522E3A">
      <w:pPr>
        <w:ind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"Наименование цифрового финансового актива или цифрового права" </w:t>
      </w:r>
      <w:r w:rsidRPr="0012059F">
        <w:rPr>
          <w:rStyle w:val="a8"/>
          <w:rFonts w:ascii="Times New Roman" w:hAnsi="Times New Roman" w:cs="Times New Roman"/>
          <w:sz w:val="28"/>
          <w:szCs w:val="28"/>
          <w:shd w:val="clear" w:color="auto" w:fill="auto"/>
        </w:rPr>
        <w:t xml:space="preserve">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w:t>
      </w:r>
      <w:r w:rsidRPr="0012059F">
        <w:rPr>
          <w:rStyle w:val="a8"/>
          <w:rFonts w:ascii="Times New Roman" w:hAnsi="Times New Roman" w:cs="Times New Roman"/>
          <w:sz w:val="28"/>
          <w:szCs w:val="28"/>
          <w:shd w:val="clear" w:color="auto" w:fill="auto"/>
        </w:rPr>
        <w:lastRenderedPageBreak/>
        <w:t>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"Дата приобретения"</w:t>
      </w:r>
      <w:r w:rsidRPr="0012059F">
        <w:rPr>
          <w:rStyle w:val="a8"/>
          <w:rFonts w:ascii="Times New Roman" w:hAnsi="Times New Roman" w:cs="Times New Roman"/>
          <w:sz w:val="28"/>
          <w:szCs w:val="28"/>
          <w:shd w:val="clear" w:color="auto" w:fill="auto"/>
        </w:rPr>
        <w:t xml:space="preserve">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"Общее количество"</w:t>
      </w:r>
      <w:r w:rsidRPr="0012059F">
        <w:rPr>
          <w:rStyle w:val="a8"/>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"Сведения об операторе информационной системы, в которой осуществляется выпуск цифровых финансовых активов" </w:t>
      </w:r>
      <w:r w:rsidRPr="0012059F">
        <w:rPr>
          <w:rStyle w:val="a8"/>
          <w:rFonts w:ascii="Times New Roman" w:hAnsi="Times New Roman" w:cs="Times New Roman"/>
          <w:sz w:val="28"/>
          <w:szCs w:val="28"/>
          <w:shd w:val="clear" w:color="auto" w:fill="auto"/>
        </w:rPr>
        <w:t>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587B35" w:rsidRDefault="00D41610" w:rsidP="00E108D3">
      <w:pPr>
        <w:ind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"Уникальное условное обозначение"</w:t>
      </w:r>
      <w:r w:rsidRPr="0012059F">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"Дата приобретения"</w:t>
      </w:r>
      <w:r w:rsidRPr="0012059F">
        <w:rPr>
          <w:rStyle w:val="a8"/>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"Объем инвестиций (руб.)"</w:t>
      </w:r>
      <w:r w:rsidRPr="0012059F">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"Сведения об операторе инвестиционной платформы" </w:t>
      </w:r>
      <w:r w:rsidRPr="0012059F">
        <w:rPr>
          <w:rStyle w:val="a8"/>
          <w:rFonts w:ascii="Times New Roman" w:hAnsi="Times New Roman" w:cs="Times New Roman"/>
          <w:sz w:val="28"/>
          <w:szCs w:val="28"/>
          <w:shd w:val="clear" w:color="auto" w:fill="auto"/>
        </w:rPr>
        <w:t>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587B35" w:rsidRDefault="00E108D3" w:rsidP="00D41610">
      <w:pPr>
        <w:pStyle w:val="aa"/>
        <w:widowControl w:val="0"/>
        <w:autoSpaceDE w:val="0"/>
        <w:autoSpaceDN w:val="0"/>
        <w:adjustRightInd w:val="0"/>
        <w:ind w:left="0" w:firstLine="567"/>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"Наименование цифровой валюты"</w:t>
      </w:r>
      <w:r w:rsidRPr="0012059F">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"Дата приобретения"</w:t>
      </w:r>
      <w:r w:rsidRPr="0012059F">
        <w:rPr>
          <w:rStyle w:val="a8"/>
          <w:rFonts w:ascii="Times New Roman" w:hAnsi="Times New Roman" w:cs="Times New Roman"/>
          <w:sz w:val="28"/>
          <w:szCs w:val="28"/>
          <w:shd w:val="clear" w:color="auto" w:fill="auto"/>
        </w:rPr>
        <w:t xml:space="preserve">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 xml:space="preserve">В графе </w:t>
      </w:r>
      <w:r w:rsidRPr="00587B35">
        <w:rPr>
          <w:rStyle w:val="a8"/>
          <w:rFonts w:ascii="Times New Roman" w:hAnsi="Times New Roman" w:cs="Times New Roman"/>
          <w:b/>
          <w:sz w:val="28"/>
          <w:szCs w:val="28"/>
          <w:shd w:val="clear" w:color="auto" w:fill="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587B35" w:rsidRDefault="00096ED3" w:rsidP="009D662F">
      <w:pPr>
        <w:ind w:firstLine="851"/>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lastRenderedPageBreak/>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587B35" w:rsidRDefault="001B075E"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lastRenderedPageBreak/>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587B35" w:rsidRDefault="001B075E" w:rsidP="00C15730">
      <w:pPr>
        <w:pStyle w:val="aa"/>
        <w:autoSpaceDE w:val="0"/>
        <w:autoSpaceDN w:val="0"/>
        <w:adjustRightInd w:val="0"/>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72F694C5" w14:textId="77777777" w:rsidR="00AD7CB8" w:rsidRDefault="00AD7CB8" w:rsidP="009D662F">
      <w:pPr>
        <w:ind w:firstLine="851"/>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78B63563" w14:textId="77777777" w:rsidR="00AD7CB8" w:rsidRDefault="00AD7CB8" w:rsidP="009D662F">
      <w:pPr>
        <w:ind w:firstLine="851"/>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602E147" w14:textId="77777777" w:rsidR="000151D0" w:rsidRPr="00587B35" w:rsidRDefault="00096ED3" w:rsidP="009D662F">
      <w:pPr>
        <w:ind w:firstLine="851"/>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587B35" w:rsidRDefault="00096ED3" w:rsidP="002E3630">
      <w:pPr>
        <w:ind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w:t>
      </w:r>
      <w:r w:rsidRPr="0012059F">
        <w:rPr>
          <w:rFonts w:ascii="Times New Roman" w:hAnsi="Times New Roman"/>
          <w:sz w:val="28"/>
          <w:szCs w:val="28"/>
        </w:rPr>
        <w:lastRenderedPageBreak/>
        <w:t xml:space="preserve">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1F3E28"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Наименование и организационно-правовая форма организации</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Доля участия</w:t>
      </w:r>
      <w:r w:rsidRPr="0012059F">
        <w:rPr>
          <w:rFonts w:ascii="Times New Roman" w:hAnsi="Times New Roman"/>
          <w:b/>
          <w:sz w:val="28"/>
          <w:szCs w:val="28"/>
        </w:rPr>
        <w:t xml:space="preserve">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w:t>
      </w:r>
      <w:r w:rsidRPr="0012059F">
        <w:rPr>
          <w:rFonts w:ascii="Times New Roman" w:hAnsi="Times New Roman"/>
          <w:sz w:val="28"/>
          <w:szCs w:val="28"/>
        </w:rPr>
        <w:lastRenderedPageBreak/>
        <w:t xml:space="preserve">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Основание участия</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587B35" w:rsidRDefault="00096ED3" w:rsidP="00E943F1">
      <w:pPr>
        <w:pStyle w:val="aa"/>
        <w:ind w:left="567" w:firstLine="0"/>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FD6407"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Номинальная величина обязательства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Общая стоимость</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587B35" w:rsidRDefault="00096ED3" w:rsidP="00FE26A5">
      <w:pPr>
        <w:ind w:firstLine="0"/>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4" w:name="_GoBack"/>
      <w:bookmarkEnd w:id="4"/>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587B35" w:rsidRDefault="00096ED3" w:rsidP="002E3630">
      <w:pPr>
        <w:ind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Вид имущества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Вид и сроки пользования</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Основание пользования</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12059F">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587B35" w:rsidRDefault="00096ED3" w:rsidP="002E3630">
      <w:pPr>
        <w:pStyle w:val="aa"/>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Содержание обязательства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Кредитор (должник)</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Основание возникновения</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Сумма обязательства / размер обязательства по состоянию на отчетную дату</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w:t>
      </w:r>
      <w:r w:rsidRPr="0012059F">
        <w:rPr>
          <w:rFonts w:ascii="Times New Roman" w:hAnsi="Times New Roman"/>
          <w:sz w:val="28"/>
          <w:szCs w:val="28"/>
        </w:rPr>
        <w:lastRenderedPageBreak/>
        <w:t xml:space="preserve">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Условия обязательства</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w:t>
      </w:r>
      <w:r w:rsidRPr="0012059F">
        <w:rPr>
          <w:rFonts w:ascii="Times New Roman" w:hAnsi="Times New Roman"/>
          <w:sz w:val="28"/>
          <w:szCs w:val="28"/>
        </w:rPr>
        <w:lastRenderedPageBreak/>
        <w:t xml:space="preserve">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587B35" w:rsidRDefault="00720D82" w:rsidP="002E3630">
      <w:pPr>
        <w:pStyle w:val="aa"/>
        <w:widowControl w:val="0"/>
        <w:numPr>
          <w:ilvl w:val="0"/>
          <w:numId w:val="1"/>
        </w:numPr>
        <w:autoSpaceDE w:val="0"/>
        <w:autoSpaceDN w:val="0"/>
        <w:adjustRightInd w:val="0"/>
        <w:ind w:left="0" w:firstLine="567"/>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тдельные виды срочных обязательств финансового характера:</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02568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участие в долевом строительстве </w:t>
      </w:r>
      <w:r w:rsidR="00CE6297"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объекта недвижимости</w:t>
      </w:r>
      <w:r w:rsidR="009D212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096ED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обязательства по ипотеке в случае разделения суммы кредита между супругами.</w:t>
      </w:r>
      <w:r w:rsidR="00D709FC"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3) </w:t>
      </w:r>
      <w:r w:rsidR="00016F6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обязательства</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в соответствии с Законом Российской Федерации от 27</w:t>
      </w:r>
      <w:r w:rsidR="004D369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ноября 1992</w:t>
      </w:r>
      <w:r w:rsidR="004D369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w:t>
      </w:r>
      <w:r w:rsidR="009F62C3"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9C00A2"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4D369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4015-</w:t>
      </w:r>
      <w:r w:rsidR="004D0956" w:rsidRPr="00587B35">
        <w:rPr>
          <w:rFonts w:ascii="Times New Roman" w:hAnsi="Times New Roman"/>
          <w:b/>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w:t>
      </w:r>
      <w:r w:rsidR="004D095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AE762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 организации страхового дела в Российской Федерации</w:t>
      </w:r>
      <w:r w:rsidR="00477400"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334FC2"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то есть обязательства, возникающие исходя из условий договора со страховой </w:t>
      </w:r>
      <w:r w:rsidR="004D095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страховщик</w:t>
      </w:r>
      <w:r w:rsidR="004D0956"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334FC2"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 не пенсионным фондом),</w:t>
      </w:r>
      <w:r w:rsidR="00016F6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по договорам</w:t>
      </w:r>
      <w:proofErr w:type="gramEnd"/>
      <w:r w:rsidR="00016F61"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страхования</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жизни на случай смерти, дожития до определенного возраста или срока либо наст</w:t>
      </w:r>
      <w:r w:rsidR="008111F2"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упления иного события; пенсионн</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по которым служащий (работник), его супруг (супруга), несовершеннолетние дети являются страхователями</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lastRenderedPageBreak/>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 </w:t>
      </w:r>
      <w:r w:rsidR="00C70F1B"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587B35" w:rsidRDefault="00522B18" w:rsidP="00522B18">
      <w:pPr>
        <w:ind w:firstLine="0"/>
        <w:jc w:val="center"/>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РАЗДЕЛ 7. СВЕДЕНИЯ О НЕДВИЖИМОМ ИМУЩЕСТВЕ, ТРАНСПОРТНЫХ СРЕДСТВАХ</w:t>
      </w:r>
      <w:r w:rsidR="00992727"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ЦЕННЫХ БУМАГАХ, </w:t>
      </w:r>
      <w:r w:rsidR="001C1025"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587B35">
        <w:rPr>
          <w:rFonts w:ascii="Times New Roman" w:hAnsi="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ОТЧУЖДЕННЫХ В ТЕЧЕНИЕ ОТЧЕТНОГО ПЕРИОДА В РЕЗУЛЬТАТЕ БЕЗВОЗМЕЗДНОЙ СДЕЛКИ</w:t>
      </w:r>
    </w:p>
    <w:p w14:paraId="504EE458" w14:textId="77777777" w:rsidR="00522B18" w:rsidRPr="00587B35" w:rsidRDefault="00522B18" w:rsidP="00522B18">
      <w:pPr>
        <w:ind w:firstLine="851"/>
        <w:jc w:val="center"/>
        <w:rPr>
          <w:rFonts w:ascii="Times New Roman" w:hAnsi="Times New Roman"/>
          <w:b/>
          <w:sz w:val="24"/>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w:t>
      </w:r>
      <w:r w:rsidR="001F43C6" w:rsidRPr="0012059F">
        <w:rPr>
          <w:rFonts w:ascii="Times New Roman" w:hAnsi="Times New Roman"/>
          <w:sz w:val="28"/>
          <w:szCs w:val="28"/>
        </w:rPr>
        <w:lastRenderedPageBreak/>
        <w:t xml:space="preserve">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AD7CB8">
      <w:headerReference w:type="default" r:id="rId30"/>
      <w:pgSz w:w="11906" w:h="16838"/>
      <w:pgMar w:top="1134" w:right="567" w:bottom="1134" w:left="1134" w:header="425"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70EA" w14:textId="77777777" w:rsidR="002E51F8" w:rsidRDefault="002E51F8" w:rsidP="00204BB5">
      <w:r>
        <w:separator/>
      </w:r>
    </w:p>
  </w:endnote>
  <w:endnote w:type="continuationSeparator" w:id="0">
    <w:p w14:paraId="78174549" w14:textId="77777777" w:rsidR="002E51F8" w:rsidRDefault="002E51F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1C6F" w14:textId="77777777" w:rsidR="002E51F8" w:rsidRDefault="002E51F8" w:rsidP="00204BB5">
      <w:r>
        <w:separator/>
      </w:r>
    </w:p>
  </w:footnote>
  <w:footnote w:type="continuationSeparator" w:id="0">
    <w:p w14:paraId="4971F03D" w14:textId="77777777" w:rsidR="002E51F8" w:rsidRDefault="002E51F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C15142" w:rsidRDefault="00C1514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D7CB8">
      <w:rPr>
        <w:rFonts w:ascii="Times New Roman" w:hAnsi="Times New Roman"/>
        <w:noProof/>
        <w:sz w:val="28"/>
        <w:szCs w:val="28"/>
      </w:rPr>
      <w:t>54</w:t>
    </w:r>
    <w:r w:rsidRPr="00204BB5">
      <w:rPr>
        <w:rFonts w:ascii="Times New Roman" w:hAnsi="Times New Roman"/>
        <w:sz w:val="28"/>
        <w:szCs w:val="28"/>
      </w:rPr>
      <w:fldChar w:fldCharType="end"/>
    </w:r>
  </w:p>
  <w:p w14:paraId="7A240C1A" w14:textId="77777777" w:rsidR="00C15142" w:rsidRDefault="00C151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1F8"/>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0D6"/>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87B35"/>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0CA"/>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D7CB8"/>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14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1AC60CB-60BC-4890-8075-84C2A7F2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23189</Words>
  <Characters>132179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Юрьевна Пролеева</cp:lastModifiedBy>
  <cp:revision>5</cp:revision>
  <cp:lastPrinted>2022-01-13T00:31:00Z</cp:lastPrinted>
  <dcterms:created xsi:type="dcterms:W3CDTF">2022-01-13T00:20:00Z</dcterms:created>
  <dcterms:modified xsi:type="dcterms:W3CDTF">2022-01-13T00:34:00Z</dcterms:modified>
</cp:coreProperties>
</file>